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bookmarkStart w:id="2" w:name="_GoBack"/>
    </w:p>
    <w:p>
      <w:pPr>
        <w:snapToGrid w:val="0"/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2022年黄埔区公园及广场技术咨询服务项目</w:t>
      </w:r>
    </w:p>
    <w:p>
      <w:pPr>
        <w:snapToGrid w:val="0"/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采购需求书</w:t>
      </w:r>
    </w:p>
    <w:p>
      <w:pPr>
        <w:snapToGrid w:val="0"/>
        <w:spacing w:line="640" w:lineRule="exact"/>
        <w:ind w:firstLine="0"/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一、项目概况：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本采购项目</w:t>
      </w:r>
      <w:r>
        <w:rPr>
          <w:rStyle w:val="12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为</w:t>
      </w:r>
      <w:r>
        <w:rPr>
          <w:rStyle w:val="12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2022年黄埔区公园及广场技术咨询服务</w:t>
      </w:r>
      <w:r>
        <w:rPr>
          <w:rStyle w:val="12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一家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为采购人提供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公园及广场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咨询服务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，服务范围包括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采购人负责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40个公园、1个广场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后期新接管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的公园及广场，采购人现管辖范围内的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个公园、1个广场日常管理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面积约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375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（二）本项目采购预算为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 w:bidi="ar"/>
        </w:rPr>
        <w:t>200000.00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元（其中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2023年拟安排预算为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00000.00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元，2024年拟安排预算为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00000.00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本项目服务期为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个月），服务期内，合同一年一签。本项目服务期间，采购人将按招、投标文件内容对中标供应商进行考核。如遇国家法律法规或上级政策变动而终止本项目，采购人将不承担任何责任。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四）本项目按采购人服务工作内容及要求，采取包工包料包质量包安全文明作业的总价包干形式承包任务。投标人的投标报价应包含项目管理服务期限内的各项管理费、工具机械费、运输费、作业车辆燃油费用、人员工资、加班费、突发性作业费、劳保费、福利费、保险费、风险金、税费、不可预见费和利润等全部费用，采购人不再额外支付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 w:bidi="ar"/>
        </w:rPr>
        <w:t>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"/>
        </w:rPr>
        <w:t>）本次采购不接受联合投标的方式、不允许转包。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总体要求：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坚持“科学、规范、诚信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实事求是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原则，做好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人管辖范围内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40个公园和1个广场的核量统计、检评、新接管公园的验收核量等技术咨询工作；参与对维护服务单位的绿化养护、卫生保洁、设施维护、安全巡查、除四害、白蚁防治等工作进行监督巡查，参与对维护服务单位的服务质量进行月度检评、提供专业分析及提出整改措施；参与公园例会；组织专业培训；参与审核维护服务单位的支付资金申请等工作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具体服务工作要求如下：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采购人管辖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范围内的公园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及广场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的工程量核实。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负责完成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合同期内采购人管辖的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公园及广场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工程量的核实工作，其中提交的核实资料包括但不限于以下：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核实总表（各个公园总面积、绿地面积、绿地率、绿化覆盖率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）、核实明细表（公园总面积、绿地面积、水体面积、陆地面积、园路及铺装场地面积、园建数量及面积等）；新旧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维护服务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单位移交时需提供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中标供应商、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移交单位、接收单位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方盖章确认的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维护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交接说明书、交接核实明细表，并做好现场移交记录（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现场照片）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建设单位新建公园终验移交的工程量核实，以建设单位实际移交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公园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工程项目为准。其中提交的核实资料包括但不限于以下：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核实总表（各个公园总面积、绿地面积、绿地率、绿化覆盖率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）、核实明细表（公园总面积、绿地面积、水体面积、陆地面积、园路及铺装场地面积、园建数量及面积、乔灌木品种及数量等），并做好现场移交记录（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现场照片）。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（三）涉及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绿地占用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、树木迁移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等行政审批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工程量核实，其中提交的核实资料包括但不限于以下：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核实明细表（品种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、规格、工程量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等）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做好现场核量记录（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现场照片）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台账管理。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（四）参与对维护服务单位的绿化养护、卫生保洁、设施维护、安全巡查、除四害、白蚁防治等工作进行监督巡查，参与对维护服务单位的服务质量进行月度检评、提供专业分析及提出整改措施。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参与公园例会，对公园维护质量、整改结果、存在问题等进行分析及提出改善方案。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（六）每月组织一次专业培训，其中包括但不限于以下：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植物病虫害防治，植物修剪方法和技术（如何修剪使植物达到多开花、多次开花、延长花期的效果），植物水肥管理，植物种植技术（根据植物品种或习性进行合理种植）等公园管理相关培训。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参与审核维护服务单位的支付资金申请等工作。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（八）协助采购人收集整理相关资料。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★三、报价要求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本项目投标报价采用报下浮率的方式，投标人报投标下浮率，报价范围为0%≤投标下浮率。</w:t>
      </w:r>
      <w:bookmarkStart w:id="0" w:name="OLE_LINK53"/>
      <w:bookmarkStart w:id="1" w:name="OLE_LINK54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下浮率必须为固定数值（保留小数点后2位，如：5.00%），不得存在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区间值（如5.00%～8.00%）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，否则将被视为非实质性响应招标文件，按无效投标处理。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eastAsia="zh-CN"/>
        </w:rPr>
        <w:t>配置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（一）项目负责人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1名：要求为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注册监理工程师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或注册造价工程师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，中级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以上职称，具有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5年以上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类似项目管理经验。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（二）技术人员4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名：要求为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在职人员，初级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职称，具有类似项目管理经验。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leftChars="0"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根据有关法律法规及本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项目服务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合同的约定，制订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相关的管理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制度，编制年度计划，并经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审定后实施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按要求完成各类核量工作，并编制书面报告，按时递交给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三）检查监督维护服务单位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质量、安全生产管理制度，发现存在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质量问题、安全隐患的，要求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整改并通知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四）参与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提交的支付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申请，签发或出具支付申请，并报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项目的服务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合同终止或解除，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必须在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要求的时间内及时移交本项目，并向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移交有关档案资料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六）中标供应商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不得转包或分包本项目的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内容。否则，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将按合同违约条款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解除合同，并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在规定的时间内移交项目及有关档案资料，同时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0%支付违约金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七）中标供应商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应具备本项目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所需的齐全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通讯、办公、检测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、测量设备和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两台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等，对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交待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任务做到快速响应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八）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违反法规、规章及施工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、养护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合同内容的行为，应及时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维护服务单位进行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处理；在绿化迁移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核实数据服务过程中发生的事故应及时告知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公共设施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需要维修、保养的，应及时告知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九）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占用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公共设施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擅自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改变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公共设施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使用功能的，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限期改正并及时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告知采购人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及时清理在施工、养护过程中产生的垃圾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十）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本项目实施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过程中无法解决的事项，要及时向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反映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十一）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在服务期内，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必须做好工作人员的安全教育工作，采取足够的安全防范措施，保证工作人员的安全。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工作人员在本项目范围内发生事故的一切责任由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十二）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项目服务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合同履行过程中，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及重要岗位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的技术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人员应保持相对稳定，以保证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技术咨询服务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工作正常进行。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更换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时，应提前7天向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人书面报告，经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人同意后方可更换；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更换项目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，应以相当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资质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与能力的人员替换，并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书面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十三）中标供应商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的工作人员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有符合国家规定的上岗证，重要岗位人员聘用要经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审定，同时，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的工作人员须听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从采购人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调动指挥。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有权要求乙方及时更换有下列情形之一的工作人员：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严重过失行为的；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有违法行为不能履行职责的；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涉嫌犯罪的；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不能胜任岗位职责的；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严重违反职业道德的；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认为应当更换的情形。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十四）中标供应商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的工资、社会保险等福利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必须符合国家有关规定；因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拖欠本项目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劳动报酬等原因造成群体性劳资纠纷的，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可按合同违约条款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并要求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0%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违约金。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六、付款方式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本项目以银行转账方式支付。签订合同且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提交履约保函后，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实施分期支付，具体分期付款方式：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（一）预付款：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在签订合同以及具备实施条件后，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按照合同金额的30％支付预付款，预付款从进度款中全额扣回。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（二）进度款：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在每季度第一个月前10日，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将工作成果资料交付采购人并经采购人审核合格后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申请支付上一季度服务费用的90%，余下的10%费用在项目年度服务期满，经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验收合格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后15日内一次性无息付清。如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提供的服务不足一个月时按日计算服务费。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在收到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提供的等额正式完税发票及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完整的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请款资料后5个工作日内办理支付手续。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（四）本项目的经费由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yellow"/>
          <w:lang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拨款，如因特殊情况的影响，拨款未能及时到位，中标供应商不得以此为由拒不履行服务，否则采购人将按规定扣减当月服务费用。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履约担保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在签订合同后15个工作日内，一次性向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合同金额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5%的见索即付履约保函作为履约担保，并将履约保函原件送交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备查和代为保管，保函有效期不得早于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服务期届满之日起满六个月。对于因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原因提前解除合同的，或造成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受到较大损失的，或在服务期发现原投标材料有虚假证明，报经政府采购管理部门认定属实后依法进行处罚的，该履约保证金不予退还。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发生如下情形之一的，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不予退还履约保证金（履约保函）：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事前未告知或未征得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同意而将本项目转包或分包的；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未能按合同约定履行服务义务、职责而造成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财物损失的；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在服务过程中发生严重失职导致责任事故或者不良社会影响的；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克扣人员工资或未按规定及时足额支付人员工资福利待遇的；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违反合同规定，所提供的服务未达到合同要求，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发出书面整改通知，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未按要求及时整改，累计发出达三次的。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如在合同期内，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发生以上情形之一，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可直接从为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提供履约保函的担保机构直接提取违约金作为造成各种损失的补偿。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（三）逾期不退还履约保证金（履约保函）的违约责任：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原因逾期退还履约保证金（履约保函）给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造成损失的，由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负责赔偿。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（四）合同期间,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违约,严重影响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正常工作,造成人身伤害、财产受损,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有权单方终止合同,同时向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索偿；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拒绝赔偿的，履约保证金将用于冲抵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经济损失后返还金额，如保证金不足以冲抵损失时，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有权另行向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追讨。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违约责任与赔偿损失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提供的服务不符合招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、投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标文件或合同规定的，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有权拒收，并要求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限期整改。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不能按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要求的限期完成核量工作累计达三次的，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采购人可按合同违约条款终止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合同，并要求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0%支付违约金。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未能按合同规定的时间提供服务，从逾期之日起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每日按合同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金额的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3‰向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支付违约金；逾期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15天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采购人将按合同违约条款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终止合同，由此造成的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经济损失由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中标供应商在技术咨询服务工作中，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所监管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受到有关投诉，一经查实属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的监管责任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，投诉一次扣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服务费500元，投诉二次扣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服务费1000元，投诉三次扣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减合同金额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5‰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服务费，累计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三次后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，采购人可按合同违约条款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取消其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资格，解除合同。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中标供应商在技术咨询服务工作中，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未履行职责给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造成损失的，应当向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中标供应商在技术咨询服务工作中，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必须填写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日志并签字，处理核量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存在的问题或需要预防的问题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并督促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维护服务单位及时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改正和执行，如未做到，一次扣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服务费100元，二次扣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服务费300元，三次扣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服务费600元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三次后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，采购人可按合同违约条款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取消其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资格，解除合同。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中标供应商为本项目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置的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工作人员必须满足采购需求中所限定的人数，否则，每次查到每缺一人扣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服务费500元。当月发现三次以上的，在每人次扣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服务费500元的基础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上再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扣减合同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1%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（七）合同终止或解除，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中标供应商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未按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要求移交有关档案资料的，从逾期之日起，每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按合同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金额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的1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‰向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支付违约金。</w:t>
      </w:r>
    </w:p>
    <w:bookmarkEnd w:id="2"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TY3ZWM0MTViZjhmOTljYTA4ZDkzNWQ3OTdmNTAifQ=="/>
  </w:docVars>
  <w:rsids>
    <w:rsidRoot w:val="3FA830DC"/>
    <w:rsid w:val="00347853"/>
    <w:rsid w:val="00453768"/>
    <w:rsid w:val="009D67FC"/>
    <w:rsid w:val="00D51EAB"/>
    <w:rsid w:val="016E4ED6"/>
    <w:rsid w:val="018C3D61"/>
    <w:rsid w:val="01FE488F"/>
    <w:rsid w:val="026D74A7"/>
    <w:rsid w:val="03D0403E"/>
    <w:rsid w:val="0715491A"/>
    <w:rsid w:val="083F67CC"/>
    <w:rsid w:val="092A5B15"/>
    <w:rsid w:val="0A71438B"/>
    <w:rsid w:val="0B3C0908"/>
    <w:rsid w:val="0B3D5F12"/>
    <w:rsid w:val="0B4B2F3C"/>
    <w:rsid w:val="0C312008"/>
    <w:rsid w:val="0C82262C"/>
    <w:rsid w:val="0CDB61EB"/>
    <w:rsid w:val="0D7B6427"/>
    <w:rsid w:val="0DA617CC"/>
    <w:rsid w:val="0DCE02C4"/>
    <w:rsid w:val="0F553F1E"/>
    <w:rsid w:val="0F5D7D1E"/>
    <w:rsid w:val="1142012B"/>
    <w:rsid w:val="12A458BC"/>
    <w:rsid w:val="13503299"/>
    <w:rsid w:val="1A793C9B"/>
    <w:rsid w:val="1AB15EE5"/>
    <w:rsid w:val="1AE97341"/>
    <w:rsid w:val="1AEF2442"/>
    <w:rsid w:val="1D9133C1"/>
    <w:rsid w:val="1F0550D3"/>
    <w:rsid w:val="1F1E2709"/>
    <w:rsid w:val="1FBC06E0"/>
    <w:rsid w:val="201F6FDD"/>
    <w:rsid w:val="206F1FB6"/>
    <w:rsid w:val="225E7EAF"/>
    <w:rsid w:val="22C4001D"/>
    <w:rsid w:val="22D12302"/>
    <w:rsid w:val="25871646"/>
    <w:rsid w:val="26035DE4"/>
    <w:rsid w:val="26330A88"/>
    <w:rsid w:val="29291A45"/>
    <w:rsid w:val="29E8393C"/>
    <w:rsid w:val="29EF76C9"/>
    <w:rsid w:val="2A060FC9"/>
    <w:rsid w:val="2F303B25"/>
    <w:rsid w:val="2F665759"/>
    <w:rsid w:val="2F847C76"/>
    <w:rsid w:val="2FA8399D"/>
    <w:rsid w:val="2FB95B1B"/>
    <w:rsid w:val="322F140C"/>
    <w:rsid w:val="33A0422B"/>
    <w:rsid w:val="34222E94"/>
    <w:rsid w:val="346A5099"/>
    <w:rsid w:val="350C695D"/>
    <w:rsid w:val="35D66834"/>
    <w:rsid w:val="35F2585D"/>
    <w:rsid w:val="36622185"/>
    <w:rsid w:val="378222A3"/>
    <w:rsid w:val="38213C99"/>
    <w:rsid w:val="38B22A2C"/>
    <w:rsid w:val="3AF97E90"/>
    <w:rsid w:val="3E893CD6"/>
    <w:rsid w:val="3FA830DC"/>
    <w:rsid w:val="40B97BF6"/>
    <w:rsid w:val="40DA71B5"/>
    <w:rsid w:val="45BD7C9E"/>
    <w:rsid w:val="46FF565B"/>
    <w:rsid w:val="473C7C2A"/>
    <w:rsid w:val="47422719"/>
    <w:rsid w:val="47BB3D28"/>
    <w:rsid w:val="47EB054E"/>
    <w:rsid w:val="49F959D0"/>
    <w:rsid w:val="4B115F3F"/>
    <w:rsid w:val="4B3854D9"/>
    <w:rsid w:val="4BE71364"/>
    <w:rsid w:val="4D7C5CFF"/>
    <w:rsid w:val="4F2338E2"/>
    <w:rsid w:val="517D6AEA"/>
    <w:rsid w:val="517E0BCA"/>
    <w:rsid w:val="526D4101"/>
    <w:rsid w:val="531D6F55"/>
    <w:rsid w:val="5357042F"/>
    <w:rsid w:val="549B53D5"/>
    <w:rsid w:val="54A0348B"/>
    <w:rsid w:val="564E1D2A"/>
    <w:rsid w:val="566A1B1F"/>
    <w:rsid w:val="56CB3E28"/>
    <w:rsid w:val="57CE1DCA"/>
    <w:rsid w:val="592A623E"/>
    <w:rsid w:val="5944164C"/>
    <w:rsid w:val="59CB2FE3"/>
    <w:rsid w:val="5A516DB1"/>
    <w:rsid w:val="5B165CDF"/>
    <w:rsid w:val="5C543FB9"/>
    <w:rsid w:val="5E24451C"/>
    <w:rsid w:val="5F1E0A84"/>
    <w:rsid w:val="61DA5A48"/>
    <w:rsid w:val="6355634E"/>
    <w:rsid w:val="63A60E18"/>
    <w:rsid w:val="664B000D"/>
    <w:rsid w:val="67F832FE"/>
    <w:rsid w:val="696217F8"/>
    <w:rsid w:val="69EF65D0"/>
    <w:rsid w:val="6A35228A"/>
    <w:rsid w:val="6A4218BB"/>
    <w:rsid w:val="6B26192A"/>
    <w:rsid w:val="6B6A4872"/>
    <w:rsid w:val="6B927EEF"/>
    <w:rsid w:val="6C070308"/>
    <w:rsid w:val="6C81223A"/>
    <w:rsid w:val="6CFB1FBF"/>
    <w:rsid w:val="6E311A3E"/>
    <w:rsid w:val="6E4F1E15"/>
    <w:rsid w:val="6E5D2310"/>
    <w:rsid w:val="6EF347E1"/>
    <w:rsid w:val="6F4416BA"/>
    <w:rsid w:val="702A4BCF"/>
    <w:rsid w:val="70DA159D"/>
    <w:rsid w:val="72FC4266"/>
    <w:rsid w:val="73EB7C05"/>
    <w:rsid w:val="767374EE"/>
    <w:rsid w:val="76F213F8"/>
    <w:rsid w:val="791B0033"/>
    <w:rsid w:val="7A2C51C6"/>
    <w:rsid w:val="7AB76609"/>
    <w:rsid w:val="7ADB784B"/>
    <w:rsid w:val="7B4B7E33"/>
    <w:rsid w:val="7CAE5E12"/>
    <w:rsid w:val="7DEC3D9E"/>
    <w:rsid w:val="7F114747"/>
    <w:rsid w:val="7F4E4B7E"/>
    <w:rsid w:val="7FC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60" w:lineRule="auto"/>
      <w:ind w:right="-209" w:rightChars="-209"/>
      <w:jc w:val="center"/>
      <w:outlineLvl w:val="0"/>
    </w:pPr>
    <w:rPr>
      <w:rFonts w:ascii="宋体" w:hAnsi="Times New Roman" w:eastAsia="宋体" w:cs="Times New Roman"/>
      <w:b/>
      <w:bCs/>
      <w:sz w:val="48"/>
      <w:szCs w:val="2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pacing w:beforeLines="20" w:afterLines="20" w:line="360" w:lineRule="auto"/>
      <w:outlineLvl w:val="1"/>
    </w:pPr>
    <w:rPr>
      <w:rFonts w:ascii="宋体" w:hAnsi="宋体"/>
      <w:b/>
      <w:kern w:val="0"/>
      <w:sz w:val="3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4"/>
      <w:lang w:eastAsia="zh-CN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0"/>
    <w:pPr>
      <w:widowControl/>
      <w:spacing w:after="120"/>
      <w:ind w:firstLine="420" w:firstLineChars="100"/>
      <w:jc w:val="left"/>
    </w:pPr>
    <w:rPr>
      <w:kern w:val="0"/>
      <w:sz w:val="20"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_0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标题 2_0"/>
    <w:basedOn w:val="15"/>
    <w:next w:val="15"/>
    <w:qFormat/>
    <w:uiPriority w:val="0"/>
    <w:pPr>
      <w:keepNext/>
      <w:keepLines/>
      <w:adjustRightInd w:val="0"/>
      <w:spacing w:beforeLines="20" w:afterLines="20" w:line="360" w:lineRule="auto"/>
      <w:outlineLvl w:val="1"/>
    </w:pPr>
    <w:rPr>
      <w:rFonts w:ascii="宋体" w:hAnsi="宋体"/>
      <w:b/>
      <w:kern w:val="0"/>
      <w:sz w:val="30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2021-05-25T06:33:00Z</dcterms:created>
  <dc:creator>Dell</dc:creator>
  <cp:lastModifiedBy>志正</cp:lastModifiedBy>
  <cp:lastPrinted>2022-11-04T03:11:00Z</cp:lastPrinted>
  <dcterms:modified xsi:type="dcterms:W3CDTF">2022-11-07T05:13:45Z</dcterms:modified>
  <dc:title>采购人需求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E8013623ED8F442EA9C9A7ECE6FC549B</vt:lpwstr>
  </property>
</Properties>
</file>