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8F88E9">
      <w:pPr>
        <w:pStyle w:val="12"/>
        <w:spacing w:line="360" w:lineRule="auto"/>
        <w:jc w:val="center"/>
        <w:outlineLvl w:val="1"/>
        <w:rPr>
          <w:rFonts w:hint="eastAsia" w:eastAsiaTheme="minorEastAsia"/>
          <w:b/>
          <w:color w:val="auto"/>
          <w:sz w:val="44"/>
          <w:szCs w:val="44"/>
          <w:highlight w:val="none"/>
          <w:lang w:eastAsia="zh-CN"/>
        </w:rPr>
      </w:pPr>
      <w:r>
        <w:rPr>
          <w:rFonts w:hint="eastAsia" w:asciiTheme="minorEastAsia" w:hAnsiTheme="minorEastAsia" w:cstheme="minorEastAsia"/>
          <w:b/>
          <w:color w:val="auto"/>
          <w:sz w:val="44"/>
          <w:szCs w:val="44"/>
          <w:highlight w:val="none"/>
          <w:lang w:eastAsia="zh-CN"/>
        </w:rPr>
        <w:t>2026</w:t>
      </w:r>
      <w:r>
        <w:rPr>
          <w:rFonts w:hint="eastAsia"/>
          <w:b/>
          <w:color w:val="auto"/>
          <w:sz w:val="44"/>
          <w:szCs w:val="44"/>
          <w:highlight w:val="none"/>
          <w:lang w:eastAsia="zh-CN"/>
        </w:rPr>
        <w:t>年黄埔区大沙片区道路绿化养护项目</w:t>
      </w:r>
    </w:p>
    <w:p w14:paraId="43513B30">
      <w:pPr>
        <w:pStyle w:val="12"/>
        <w:spacing w:line="360" w:lineRule="auto"/>
        <w:jc w:val="center"/>
        <w:outlineLvl w:val="1"/>
        <w:rPr>
          <w:rFonts w:hint="eastAsia"/>
          <w:b/>
          <w:color w:val="auto"/>
          <w:sz w:val="44"/>
          <w:szCs w:val="44"/>
          <w:highlight w:val="none"/>
          <w:lang w:val="en-US" w:eastAsia="zh-CN"/>
        </w:rPr>
      </w:pPr>
      <w:r>
        <w:rPr>
          <w:b/>
          <w:color w:val="auto"/>
          <w:sz w:val="44"/>
          <w:szCs w:val="44"/>
          <w:highlight w:val="none"/>
        </w:rPr>
        <w:t>采购需求</w:t>
      </w:r>
      <w:r>
        <w:rPr>
          <w:rFonts w:hint="eastAsia"/>
          <w:b/>
          <w:color w:val="auto"/>
          <w:sz w:val="44"/>
          <w:szCs w:val="44"/>
          <w:highlight w:val="none"/>
          <w:lang w:val="en-US" w:eastAsia="zh-CN"/>
        </w:rPr>
        <w:t>书</w:t>
      </w:r>
    </w:p>
    <w:p w14:paraId="44639D97">
      <w:pPr>
        <w:pStyle w:val="12"/>
        <w:spacing w:line="360" w:lineRule="auto"/>
        <w:jc w:val="center"/>
        <w:outlineLvl w:val="1"/>
        <w:rPr>
          <w:rFonts w:hint="eastAsia" w:eastAsiaTheme="minorEastAsia"/>
          <w:b/>
          <w:color w:val="auto"/>
          <w:sz w:val="44"/>
          <w:szCs w:val="44"/>
          <w:highlight w:val="none"/>
          <w:lang w:val="en-US" w:eastAsia="zh-CN"/>
        </w:rPr>
      </w:pPr>
    </w:p>
    <w:p w14:paraId="5220B57D">
      <w:pPr>
        <w:pStyle w:val="12"/>
        <w:spacing w:line="360" w:lineRule="auto"/>
        <w:ind w:firstLine="482" w:firstLineChars="200"/>
        <w:outlineLvl w:val="2"/>
        <w:rPr>
          <w:rFonts w:asciiTheme="minorEastAsia" w:hAnsiTheme="minorEastAsia" w:cstheme="minorEastAsia"/>
          <w:color w:val="auto"/>
          <w:sz w:val="24"/>
          <w:szCs w:val="24"/>
          <w:highlight w:val="none"/>
        </w:rPr>
      </w:pPr>
      <w:r>
        <w:rPr>
          <w:rFonts w:asciiTheme="minorEastAsia" w:hAnsiTheme="minorEastAsia" w:cstheme="minorEastAsia"/>
          <w:b/>
          <w:color w:val="auto"/>
          <w:sz w:val="24"/>
          <w:szCs w:val="24"/>
          <w:highlight w:val="none"/>
        </w:rPr>
        <w:t>一、项目概况</w:t>
      </w:r>
    </w:p>
    <w:p w14:paraId="1D2EE065">
      <w:pPr>
        <w:pStyle w:val="12"/>
        <w:spacing w:line="360" w:lineRule="auto"/>
        <w:ind w:firstLine="480"/>
        <w:jc w:val="both"/>
        <w:rPr>
          <w:rFonts w:hint="eastAsia" w:asciiTheme="minorEastAsia" w:hAnsiTheme="minorEastAsia" w:eastAsiaTheme="minorEastAsia" w:cstheme="minorEastAsia"/>
          <w:color w:val="auto"/>
          <w:sz w:val="24"/>
          <w:szCs w:val="24"/>
          <w:highlight w:val="none"/>
          <w:lang w:eastAsia="zh-CN"/>
        </w:rPr>
      </w:pPr>
      <w:r>
        <w:rPr>
          <w:rFonts w:asciiTheme="minorEastAsia" w:hAnsiTheme="minorEastAsia" w:cstheme="minorEastAsia"/>
          <w:color w:val="auto"/>
          <w:sz w:val="24"/>
          <w:szCs w:val="24"/>
          <w:highlight w:val="none"/>
        </w:rPr>
        <w:t>（一）项目名称：</w:t>
      </w:r>
      <w:r>
        <w:rPr>
          <w:rFonts w:hint="eastAsia" w:asciiTheme="minorEastAsia" w:hAnsiTheme="minorEastAsia" w:cstheme="minorEastAsia"/>
          <w:color w:val="auto"/>
          <w:sz w:val="24"/>
          <w:szCs w:val="24"/>
          <w:highlight w:val="none"/>
          <w:lang w:eastAsia="zh-CN"/>
        </w:rPr>
        <w:t>2026年黄埔区大沙片区道路绿化养护项目</w:t>
      </w:r>
    </w:p>
    <w:p w14:paraId="2293AFE2">
      <w:pPr>
        <w:pStyle w:val="12"/>
        <w:spacing w:line="360" w:lineRule="auto"/>
        <w:ind w:firstLine="480"/>
        <w:rPr>
          <w:rFonts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（二）项目地点：黄埔区</w:t>
      </w:r>
    </w:p>
    <w:p w14:paraId="3E55BC40">
      <w:pPr>
        <w:pStyle w:val="12"/>
        <w:spacing w:line="360" w:lineRule="auto"/>
        <w:ind w:firstLine="480"/>
        <w:jc w:val="both"/>
        <w:rPr>
          <w:rFonts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val="en-US" w:eastAsia="zh-CN"/>
        </w:rPr>
        <w:t>三</w:t>
      </w:r>
      <w:r>
        <w:rPr>
          <w:rFonts w:asciiTheme="minorEastAsia" w:hAnsiTheme="minorEastAsia" w:cstheme="minorEastAsia"/>
          <w:color w:val="auto"/>
          <w:sz w:val="24"/>
          <w:szCs w:val="24"/>
          <w:highlight w:val="none"/>
        </w:rPr>
        <w:t>）本项目属于</w:t>
      </w:r>
      <w:r>
        <w:rPr>
          <w:rFonts w:hint="eastAsia" w:asciiTheme="minorEastAsia" w:hAnsiTheme="minorEastAsia" w:cstheme="minorEastAsia"/>
          <w:color w:val="auto"/>
          <w:sz w:val="24"/>
          <w:szCs w:val="24"/>
          <w:highlight w:val="none"/>
          <w:lang w:val="en-US" w:eastAsia="zh-CN"/>
        </w:rPr>
        <w:t>整体</w:t>
      </w:r>
      <w:r>
        <w:rPr>
          <w:rFonts w:asciiTheme="minorEastAsia" w:hAnsiTheme="minorEastAsia" w:cstheme="minorEastAsia"/>
          <w:color w:val="auto"/>
          <w:sz w:val="24"/>
          <w:szCs w:val="24"/>
          <w:highlight w:val="none"/>
        </w:rPr>
        <w:t>专门面向中小微企业预留采购份额的项目。</w:t>
      </w:r>
    </w:p>
    <w:p w14:paraId="5A683FA3">
      <w:pPr>
        <w:pStyle w:val="12"/>
        <w:spacing w:line="360" w:lineRule="auto"/>
        <w:ind w:firstLine="480"/>
        <w:jc w:val="both"/>
        <w:rPr>
          <w:rFonts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val="en-US" w:eastAsia="zh-CN"/>
        </w:rPr>
        <w:t>四</w:t>
      </w:r>
      <w:r>
        <w:rPr>
          <w:rFonts w:asciiTheme="minorEastAsia" w:hAnsiTheme="minorEastAsia" w:cstheme="minorEastAsia"/>
          <w:color w:val="auto"/>
          <w:sz w:val="24"/>
          <w:szCs w:val="24"/>
          <w:highlight w:val="none"/>
        </w:rPr>
        <w:t>）本项目对应的中小企业划分标准所属行业为：其他未列明行业。</w:t>
      </w:r>
    </w:p>
    <w:p w14:paraId="65E8F997">
      <w:pPr>
        <w:pStyle w:val="12"/>
        <w:spacing w:line="360" w:lineRule="auto"/>
        <w:ind w:firstLine="480"/>
        <w:jc w:val="both"/>
        <w:rPr>
          <w:rFonts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val="en-US" w:eastAsia="zh-CN"/>
        </w:rPr>
        <w:t>五</w:t>
      </w:r>
      <w:r>
        <w:rPr>
          <w:rFonts w:asciiTheme="minorEastAsia" w:hAnsiTheme="minorEastAsia" w:cstheme="minorEastAsia"/>
          <w:color w:val="auto"/>
          <w:sz w:val="24"/>
          <w:szCs w:val="24"/>
          <w:highlight w:val="none"/>
        </w:rPr>
        <w:t>）项目属性：服务类；政府采购品目：C13030000—园林绿化管理服务。</w:t>
      </w:r>
    </w:p>
    <w:p w14:paraId="674ABB15">
      <w:pPr>
        <w:pStyle w:val="13"/>
        <w:spacing w:beforeLines="0" w:afterLines="0"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六</w:t>
      </w:r>
      <w:r>
        <w:rPr>
          <w:rFonts w:hint="eastAsia" w:asciiTheme="minorEastAsia" w:hAnsiTheme="minorEastAsia" w:eastAsiaTheme="minorEastAsia" w:cstheme="minorEastAsia"/>
          <w:color w:val="auto"/>
          <w:sz w:val="24"/>
          <w:szCs w:val="24"/>
          <w:highlight w:val="none"/>
        </w:rPr>
        <w:t>）本项目确定</w:t>
      </w:r>
      <w:r>
        <w:rPr>
          <w:rFonts w:hint="eastAsia" w:asciiTheme="minorEastAsia" w:hAnsiTheme="minorEastAsia" w:eastAsiaTheme="minorEastAsia" w:cstheme="minorEastAsia"/>
          <w:color w:val="auto"/>
          <w:sz w:val="24"/>
          <w:szCs w:val="24"/>
          <w:highlight w:val="none"/>
          <w:lang w:val="en-US" w:eastAsia="zh-CN"/>
        </w:rPr>
        <w:t>一</w:t>
      </w:r>
      <w:r>
        <w:rPr>
          <w:rFonts w:hint="eastAsia" w:asciiTheme="minorEastAsia" w:hAnsiTheme="minorEastAsia" w:eastAsiaTheme="minorEastAsia" w:cstheme="minorEastAsia"/>
          <w:color w:val="auto"/>
          <w:sz w:val="24"/>
          <w:szCs w:val="24"/>
          <w:highlight w:val="none"/>
        </w:rPr>
        <w:t>家中标供应商，中标供应商按本项目服务内容及要求，</w:t>
      </w:r>
      <w:r>
        <w:rPr>
          <w:rFonts w:hint="eastAsia" w:asciiTheme="minorEastAsia" w:hAnsiTheme="minorEastAsia" w:eastAsiaTheme="minorEastAsia" w:cstheme="minorEastAsia"/>
          <w:color w:val="auto"/>
          <w:sz w:val="24"/>
          <w:szCs w:val="24"/>
          <w:highlight w:val="none"/>
          <w:lang w:val="en-US" w:eastAsia="zh-CN"/>
        </w:rPr>
        <w:t>负责黄埔区大沙片区道路绿化养护服务工作</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rPr>
        <w:t>因</w:t>
      </w:r>
      <w:r>
        <w:rPr>
          <w:rFonts w:hint="eastAsia" w:asciiTheme="minorEastAsia" w:hAnsiTheme="minorEastAsia" w:eastAsiaTheme="minorEastAsia" w:cstheme="minorEastAsia"/>
          <w:color w:val="auto"/>
          <w:sz w:val="24"/>
          <w:highlight w:val="none"/>
          <w:lang w:val="en-US" w:eastAsia="zh-CN"/>
        </w:rPr>
        <w:t>采购人管理权限调整</w:t>
      </w:r>
      <w:r>
        <w:rPr>
          <w:rFonts w:hint="eastAsia" w:asciiTheme="minorEastAsia" w:hAnsiTheme="minorEastAsia" w:eastAsiaTheme="minorEastAsia" w:cstheme="minorEastAsia"/>
          <w:color w:val="auto"/>
          <w:sz w:val="24"/>
          <w:highlight w:val="none"/>
        </w:rPr>
        <w:t>、建设</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运营</w:t>
      </w:r>
      <w:r>
        <w:rPr>
          <w:rFonts w:hint="eastAsia" w:asciiTheme="minorEastAsia" w:hAnsiTheme="minorEastAsia" w:eastAsiaTheme="minorEastAsia" w:cstheme="minorEastAsia"/>
          <w:color w:val="auto"/>
          <w:sz w:val="24"/>
          <w:highlight w:val="none"/>
        </w:rPr>
        <w:t>需要、</w:t>
      </w:r>
      <w:r>
        <w:rPr>
          <w:rFonts w:hint="eastAsia" w:asciiTheme="minorEastAsia" w:hAnsiTheme="minorEastAsia" w:eastAsiaTheme="minorEastAsia" w:cstheme="minorEastAsia"/>
          <w:color w:val="auto"/>
          <w:sz w:val="24"/>
          <w:highlight w:val="none"/>
        </w:rPr>
        <w:t>政策变化等原因，服务过程中会存在</w:t>
      </w:r>
      <w:r>
        <w:rPr>
          <w:rFonts w:hint="eastAsia" w:asciiTheme="minorEastAsia" w:hAnsiTheme="minorEastAsia" w:eastAsiaTheme="minorEastAsia" w:cstheme="minorEastAsia"/>
          <w:color w:val="auto"/>
          <w:sz w:val="24"/>
          <w:highlight w:val="none"/>
          <w:lang w:val="en-US" w:eastAsia="zh-CN"/>
        </w:rPr>
        <w:t>养护</w:t>
      </w:r>
      <w:r>
        <w:rPr>
          <w:rFonts w:hint="eastAsia" w:asciiTheme="minorEastAsia" w:hAnsiTheme="minorEastAsia" w:eastAsiaTheme="minorEastAsia" w:cstheme="minorEastAsia"/>
          <w:color w:val="auto"/>
          <w:sz w:val="24"/>
          <w:highlight w:val="none"/>
        </w:rPr>
        <w:t>工作量的变化，服务费按照实际</w:t>
      </w:r>
      <w:r>
        <w:rPr>
          <w:rFonts w:hint="eastAsia" w:asciiTheme="minorEastAsia" w:hAnsiTheme="minorEastAsia" w:eastAsiaTheme="minorEastAsia" w:cstheme="minorEastAsia"/>
          <w:color w:val="auto"/>
          <w:sz w:val="24"/>
          <w:highlight w:val="none"/>
          <w:lang w:val="en-US" w:eastAsia="zh-CN"/>
        </w:rPr>
        <w:t>养护</w:t>
      </w:r>
      <w:r>
        <w:rPr>
          <w:rFonts w:hint="eastAsia" w:asciiTheme="minorEastAsia" w:hAnsiTheme="minorEastAsia" w:eastAsiaTheme="minorEastAsia" w:cstheme="minorEastAsia"/>
          <w:color w:val="auto"/>
          <w:sz w:val="24"/>
          <w:highlight w:val="none"/>
        </w:rPr>
        <w:t>工作量进行结算。</w:t>
      </w:r>
    </w:p>
    <w:p w14:paraId="588972B0">
      <w:pPr>
        <w:pStyle w:val="12"/>
        <w:spacing w:line="360" w:lineRule="auto"/>
        <w:ind w:firstLine="480"/>
        <w:rPr>
          <w:rFonts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val="en-US" w:eastAsia="zh-CN"/>
        </w:rPr>
        <w:t>七</w:t>
      </w:r>
      <w:r>
        <w:rPr>
          <w:rFonts w:asciiTheme="minorEastAsia" w:hAnsi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val="en-US" w:eastAsia="zh-CN"/>
        </w:rPr>
        <w:t>本</w:t>
      </w:r>
      <w:r>
        <w:rPr>
          <w:rFonts w:asciiTheme="minorEastAsia" w:hAnsiTheme="minorEastAsia" w:cstheme="minorEastAsia"/>
          <w:color w:val="auto"/>
          <w:sz w:val="24"/>
          <w:szCs w:val="24"/>
          <w:highlight w:val="none"/>
        </w:rPr>
        <w:t>项目采购预算金额：</w:t>
      </w:r>
      <w:r>
        <w:rPr>
          <w:rFonts w:hint="eastAsia" w:asciiTheme="minorEastAsia" w:hAnsiTheme="minorEastAsia" w:cstheme="minorEastAsia"/>
          <w:color w:val="auto"/>
          <w:sz w:val="24"/>
          <w:szCs w:val="24"/>
          <w:highlight w:val="none"/>
          <w:u w:val="single"/>
          <w:lang w:val="en-US" w:eastAsia="zh-CN"/>
        </w:rPr>
        <w:t>5929607.66</w:t>
      </w:r>
      <w:r>
        <w:rPr>
          <w:rFonts w:asciiTheme="minorEastAsia" w:hAnsiTheme="minorEastAsia" w:cstheme="minorEastAsia"/>
          <w:color w:val="auto"/>
          <w:sz w:val="24"/>
          <w:szCs w:val="24"/>
          <w:highlight w:val="none"/>
        </w:rPr>
        <w:t>元。</w:t>
      </w:r>
    </w:p>
    <w:p w14:paraId="7253F4EB">
      <w:pPr>
        <w:pStyle w:val="9"/>
        <w:spacing w:beforeLines="0" w:after="0" w:afterLines="0" w:line="360" w:lineRule="auto"/>
        <w:ind w:firstLine="480" w:firstLineChars="200"/>
        <w:rPr>
          <w:rFonts w:asciiTheme="minorEastAsia" w:hAnsiTheme="minorEastAsia" w:eastAsiaTheme="minorEastAsia" w:cstheme="minorEastAsia"/>
          <w:color w:val="auto"/>
          <w:sz w:val="24"/>
          <w:highlight w:val="none"/>
          <w:lang w:val="zh-TW" w:eastAsia="zh-TW"/>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八</w:t>
      </w:r>
      <w:r>
        <w:rPr>
          <w:rFonts w:hint="eastAsia" w:asciiTheme="minorEastAsia" w:hAnsiTheme="minorEastAsia" w:eastAsiaTheme="minorEastAsia" w:cstheme="minorEastAsia"/>
          <w:color w:val="auto"/>
          <w:sz w:val="24"/>
          <w:szCs w:val="24"/>
          <w:highlight w:val="none"/>
        </w:rPr>
        <w:t>）服务期限：</w:t>
      </w:r>
      <w:r>
        <w:rPr>
          <w:rFonts w:hint="eastAsia" w:asciiTheme="minorEastAsia" w:hAnsiTheme="minorEastAsia" w:eastAsiaTheme="minorEastAsia" w:cstheme="minorEastAsia"/>
          <w:color w:val="auto"/>
          <w:sz w:val="24"/>
          <w:szCs w:val="24"/>
          <w:highlight w:val="none"/>
          <w:lang w:val="en-US" w:eastAsia="zh-CN"/>
        </w:rPr>
        <w:t>14个月6天</w:t>
      </w:r>
      <w:r>
        <w:rPr>
          <w:rFonts w:hint="eastAsia" w:asciiTheme="minorEastAsia" w:hAnsiTheme="minorEastAsia" w:eastAsiaTheme="minorEastAsia" w:cstheme="minorEastAsia"/>
          <w:color w:val="auto"/>
          <w:sz w:val="24"/>
          <w:szCs w:val="24"/>
          <w:highlight w:val="none"/>
        </w:rPr>
        <w:t>，按照年度安排的政府采购预算额度，第一年度安排政府采购预算额度：</w:t>
      </w:r>
      <w:r>
        <w:rPr>
          <w:rFonts w:hint="eastAsia" w:asciiTheme="minorEastAsia" w:hAnsiTheme="minorEastAsia" w:eastAsiaTheme="minorEastAsia" w:cstheme="minorEastAsia"/>
          <w:color w:val="auto"/>
          <w:sz w:val="24"/>
          <w:szCs w:val="24"/>
          <w:highlight w:val="none"/>
          <w:u w:val="single"/>
          <w:lang w:val="en-US" w:eastAsia="zh-CN"/>
        </w:rPr>
        <w:t>5009969.43</w:t>
      </w:r>
      <w:r>
        <w:rPr>
          <w:rFonts w:hint="eastAsia" w:asciiTheme="minorEastAsia" w:hAnsiTheme="minorEastAsia" w:eastAsiaTheme="minorEastAsia" w:cstheme="minorEastAsia"/>
          <w:color w:val="auto"/>
          <w:sz w:val="24"/>
          <w:szCs w:val="24"/>
          <w:highlight w:val="none"/>
          <w:u w:val="none"/>
        </w:rPr>
        <w:t>元</w:t>
      </w:r>
      <w:r>
        <w:rPr>
          <w:rFonts w:hint="eastAsia" w:asciiTheme="minorEastAsia" w:hAnsiTheme="minorEastAsia" w:eastAsiaTheme="minorEastAsia" w:cstheme="minorEastAsia"/>
          <w:color w:val="auto"/>
          <w:sz w:val="24"/>
          <w:szCs w:val="24"/>
          <w:highlight w:val="none"/>
        </w:rPr>
        <w:t>；第二年度拟安排政府采购预算额度：</w:t>
      </w:r>
      <w:r>
        <w:rPr>
          <w:rFonts w:hint="eastAsia" w:asciiTheme="minorEastAsia" w:hAnsiTheme="minorEastAsia" w:eastAsiaTheme="minorEastAsia" w:cstheme="minorEastAsia"/>
          <w:color w:val="auto"/>
          <w:sz w:val="24"/>
          <w:szCs w:val="24"/>
          <w:highlight w:val="none"/>
          <w:u w:val="single"/>
          <w:lang w:val="en-US" w:eastAsia="zh-CN"/>
        </w:rPr>
        <w:t>919638.23</w:t>
      </w:r>
      <w:r>
        <w:rPr>
          <w:rFonts w:hint="eastAsia" w:asciiTheme="minorEastAsia" w:hAnsiTheme="minorEastAsia" w:eastAsiaTheme="minorEastAsia" w:cstheme="minorEastAsia"/>
          <w:color w:val="auto"/>
          <w:sz w:val="24"/>
          <w:szCs w:val="24"/>
          <w:highlight w:val="none"/>
          <w:u w:val="single"/>
        </w:rPr>
        <w:t>元</w:t>
      </w:r>
      <w:r>
        <w:rPr>
          <w:rFonts w:hint="eastAsia" w:asciiTheme="minorEastAsia" w:hAnsiTheme="minorEastAsia" w:eastAsiaTheme="minorEastAsia" w:cstheme="minorEastAsia"/>
          <w:color w:val="auto"/>
          <w:sz w:val="24"/>
          <w:szCs w:val="24"/>
          <w:highlight w:val="none"/>
        </w:rPr>
        <w:t>。服务期内合同一年一签，具体以实际完成工作量为准。本项目服务期间，如未续签下一年度合同，则当年合同期限届满后双方服务合同关系自行终止</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highlight w:val="none"/>
        </w:rPr>
        <w:t>采购人将按招投标文件内容对中标供应商进行考核。</w:t>
      </w:r>
      <w:r>
        <w:rPr>
          <w:rFonts w:hint="eastAsia" w:asciiTheme="minorEastAsia" w:hAnsiTheme="minorEastAsia" w:eastAsiaTheme="minorEastAsia" w:cstheme="minorEastAsia"/>
          <w:color w:val="auto"/>
          <w:sz w:val="24"/>
          <w:highlight w:val="none"/>
        </w:rPr>
        <w:t>如遇国家法律法规或上级政策变动而终止本项目，采购人将不承担任何责任。</w:t>
      </w:r>
    </w:p>
    <w:p w14:paraId="4D1D719A">
      <w:pPr>
        <w:pStyle w:val="12"/>
        <w:spacing w:line="360" w:lineRule="auto"/>
        <w:ind w:firstLine="480"/>
        <w:jc w:val="both"/>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lang w:val="en-US" w:eastAsia="zh-CN"/>
        </w:rPr>
        <w:t>九）本项目</w:t>
      </w:r>
      <w:r>
        <w:rPr>
          <w:rFonts w:asciiTheme="minorEastAsia" w:hAnsiTheme="minorEastAsia" w:cstheme="minorEastAsia"/>
          <w:color w:val="auto"/>
          <w:sz w:val="24"/>
          <w:szCs w:val="24"/>
          <w:highlight w:val="none"/>
        </w:rPr>
        <w:t>采取</w:t>
      </w:r>
      <w:r>
        <w:rPr>
          <w:rFonts w:hint="eastAsia" w:asciiTheme="minorEastAsia" w:hAnsiTheme="minorEastAsia" w:eastAsiaTheme="minorEastAsia" w:cstheme="minorEastAsia"/>
          <w:color w:val="auto"/>
          <w:sz w:val="24"/>
          <w:highlight w:val="none"/>
        </w:rPr>
        <w:t>采取包工、包料、包质量、包安全文明作业的形式承包任务。投标人的投标报价应包含项目服务期限内的各项管理费、人员工资、加班费、劳保费、福利费、装备费、作业车辆燃油费、</w:t>
      </w:r>
      <w:r>
        <w:rPr>
          <w:rFonts w:hint="eastAsia" w:asciiTheme="minorEastAsia" w:hAnsiTheme="minorEastAsia" w:eastAsiaTheme="minorEastAsia" w:cstheme="minorEastAsia"/>
          <w:color w:val="auto"/>
          <w:sz w:val="24"/>
          <w:highlight w:val="none"/>
          <w:lang w:bidi="ar"/>
        </w:rPr>
        <w:t>设施设备使用费、</w:t>
      </w:r>
      <w:r>
        <w:rPr>
          <w:rFonts w:hint="eastAsia" w:asciiTheme="minorEastAsia" w:hAnsiTheme="minorEastAsia" w:eastAsiaTheme="minorEastAsia" w:cstheme="minorEastAsia"/>
          <w:color w:val="auto"/>
          <w:sz w:val="24"/>
          <w:highlight w:val="none"/>
        </w:rPr>
        <w:t>保险费、风险金、税费、不可预见费和利润等全部费用，采购人不再额外支付调整。</w:t>
      </w:r>
    </w:p>
    <w:p w14:paraId="01FD38A1">
      <w:pPr>
        <w:pStyle w:val="12"/>
        <w:spacing w:line="360" w:lineRule="auto"/>
        <w:ind w:firstLine="480"/>
        <w:jc w:val="both"/>
        <w:rPr>
          <w:rFonts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val="en-US" w:eastAsia="zh-CN"/>
        </w:rPr>
        <w:t>十</w:t>
      </w:r>
      <w:r>
        <w:rPr>
          <w:rFonts w:asciiTheme="minorEastAsia" w:hAnsi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val="en-US" w:eastAsia="zh-CN"/>
        </w:rPr>
        <w:t>本</w:t>
      </w:r>
      <w:r>
        <w:rPr>
          <w:rFonts w:asciiTheme="minorEastAsia" w:hAnsiTheme="minorEastAsia" w:cstheme="minorEastAsia"/>
          <w:color w:val="auto"/>
          <w:sz w:val="24"/>
          <w:szCs w:val="24"/>
          <w:highlight w:val="none"/>
        </w:rPr>
        <w:t>采购需求书中</w:t>
      </w:r>
      <w:r>
        <w:rPr>
          <w:rFonts w:hint="eastAsia" w:asciiTheme="minorEastAsia" w:hAnsiTheme="minorEastAsia" w:cstheme="minorEastAsia"/>
          <w:color w:val="auto"/>
          <w:sz w:val="24"/>
          <w:szCs w:val="24"/>
          <w:highlight w:val="none"/>
          <w:lang w:eastAsia="zh-CN"/>
        </w:rPr>
        <w:t>标</w:t>
      </w:r>
      <w:r>
        <w:rPr>
          <w:rFonts w:asciiTheme="minorEastAsia" w:hAnsiTheme="minorEastAsia" w:cstheme="minorEastAsia"/>
          <w:color w:val="auto"/>
          <w:sz w:val="24"/>
          <w:szCs w:val="24"/>
          <w:highlight w:val="none"/>
        </w:rPr>
        <w:t>“★”号条款为实质性响应条款，</w:t>
      </w:r>
      <w:r>
        <w:rPr>
          <w:rFonts w:hint="eastAsia" w:asciiTheme="minorEastAsia" w:hAnsiTheme="minorEastAsia" w:cstheme="minorEastAsia"/>
          <w:color w:val="auto"/>
          <w:sz w:val="24"/>
          <w:szCs w:val="24"/>
          <w:highlight w:val="none"/>
          <w:lang w:val="en-US" w:eastAsia="zh-CN"/>
        </w:rPr>
        <w:t>投标人</w:t>
      </w:r>
      <w:r>
        <w:rPr>
          <w:rFonts w:asciiTheme="minorEastAsia" w:hAnsiTheme="minorEastAsia" w:cstheme="minorEastAsia"/>
          <w:color w:val="auto"/>
          <w:sz w:val="24"/>
          <w:szCs w:val="24"/>
          <w:highlight w:val="none"/>
        </w:rPr>
        <w:t>必须对此作出一一响应</w:t>
      </w:r>
      <w:r>
        <w:rPr>
          <w:rFonts w:hint="eastAsia" w:asciiTheme="minorEastAsia" w:hAnsiTheme="minorEastAsia" w:cstheme="minorEastAsia"/>
          <w:color w:val="auto"/>
          <w:sz w:val="24"/>
          <w:szCs w:val="24"/>
          <w:highlight w:val="none"/>
          <w:lang w:eastAsia="zh-CN"/>
        </w:rPr>
        <w:t>，</w:t>
      </w:r>
      <w:r>
        <w:rPr>
          <w:rFonts w:asciiTheme="minorEastAsia" w:hAnsiTheme="minorEastAsia" w:cstheme="minorEastAsia"/>
          <w:color w:val="auto"/>
          <w:sz w:val="24"/>
          <w:szCs w:val="24"/>
          <w:highlight w:val="none"/>
        </w:rPr>
        <w:t>若有一项带“★”的指标未响应或不满足，将导致其废标或投标无效。</w:t>
      </w:r>
    </w:p>
    <w:p w14:paraId="53FCD8AB">
      <w:pPr>
        <w:pStyle w:val="12"/>
        <w:spacing w:line="360" w:lineRule="auto"/>
        <w:ind w:firstLine="480"/>
        <w:jc w:val="both"/>
        <w:rPr>
          <w:rFonts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eastAsia="zh-CN"/>
        </w:rPr>
        <w:t>十</w:t>
      </w:r>
      <w:r>
        <w:rPr>
          <w:rFonts w:hint="eastAsia" w:asciiTheme="minorEastAsia" w:hAnsiTheme="minorEastAsia" w:cstheme="minorEastAsia"/>
          <w:color w:val="auto"/>
          <w:sz w:val="24"/>
          <w:szCs w:val="24"/>
          <w:highlight w:val="none"/>
          <w:lang w:val="en-US" w:eastAsia="zh-CN"/>
        </w:rPr>
        <w:t>一</w:t>
      </w:r>
      <w:r>
        <w:rPr>
          <w:rFonts w:asciiTheme="minorEastAsia" w:hAnsi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val="en-US" w:eastAsia="zh-CN"/>
        </w:rPr>
        <w:t>本</w:t>
      </w:r>
      <w:r>
        <w:rPr>
          <w:rFonts w:asciiTheme="minorEastAsia" w:hAnsiTheme="minorEastAsia" w:cstheme="minorEastAsia"/>
          <w:color w:val="auto"/>
          <w:sz w:val="24"/>
          <w:szCs w:val="24"/>
          <w:highlight w:val="none"/>
        </w:rPr>
        <w:t>采购需求中涉及承诺内容及事项的，投标人需在投标时提供承诺函（招标文件有格式要求的，需按格式提供，无格式要求的，格式自拟。）</w:t>
      </w:r>
    </w:p>
    <w:p w14:paraId="1B2B2A24">
      <w:pPr>
        <w:pStyle w:val="14"/>
        <w:spacing w:beforeLines="0" w:afterLines="0"/>
        <w:ind w:firstLine="480" w:firstLineChars="200"/>
        <w:jc w:val="both"/>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w:t>
      </w:r>
      <w:r>
        <w:rPr>
          <w:rFonts w:hint="eastAsia" w:asciiTheme="minorEastAsia" w:hAnsiTheme="minorEastAsia" w:eastAsiaTheme="minorEastAsia" w:cstheme="minorEastAsia"/>
          <w:b w:val="0"/>
          <w:bCs/>
          <w:color w:val="auto"/>
          <w:sz w:val="24"/>
          <w:szCs w:val="24"/>
          <w:highlight w:val="none"/>
          <w:lang w:val="en-US" w:eastAsia="zh-CN"/>
        </w:rPr>
        <w:t>十二</w:t>
      </w:r>
      <w:r>
        <w:rPr>
          <w:rFonts w:hint="eastAsia" w:asciiTheme="minorEastAsia" w:hAnsiTheme="minorEastAsia" w:eastAsiaTheme="minorEastAsia" w:cstheme="minorEastAsia"/>
          <w:b w:val="0"/>
          <w:bCs/>
          <w:color w:val="auto"/>
          <w:sz w:val="24"/>
          <w:szCs w:val="24"/>
          <w:highlight w:val="none"/>
        </w:rPr>
        <w:t>）投标人必须对本项目进行整体投标，不得拆分，任何只对本项目其中一部分内容进行的投标都将被视为无效投标。</w:t>
      </w:r>
    </w:p>
    <w:p w14:paraId="5095F762">
      <w:pPr>
        <w:pStyle w:val="12"/>
        <w:widowControl w:val="0"/>
        <w:numPr>
          <w:ilvl w:val="0"/>
          <w:numId w:val="0"/>
        </w:numPr>
        <w:spacing w:beforeLines="0" w:afterLines="0" w:line="360" w:lineRule="auto"/>
        <w:ind w:firstLine="420" w:firstLineChars="0"/>
        <w:jc w:val="both"/>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b w:val="0"/>
          <w:bCs/>
          <w:color w:val="auto"/>
          <w:sz w:val="24"/>
          <w:szCs w:val="24"/>
          <w:highlight w:val="none"/>
          <w:lang w:val="en-US" w:eastAsia="zh-CN"/>
        </w:rPr>
        <w:t>十三）</w:t>
      </w:r>
      <w:r>
        <w:rPr>
          <w:rFonts w:hint="eastAsia" w:asciiTheme="minorEastAsia" w:hAnsiTheme="minorEastAsia" w:eastAsiaTheme="minorEastAsia" w:cstheme="minorEastAsia"/>
          <w:color w:val="auto"/>
          <w:kern w:val="0"/>
          <w:sz w:val="24"/>
          <w:szCs w:val="24"/>
          <w:highlight w:val="none"/>
        </w:rPr>
        <w:t>本次采购接受联合</w:t>
      </w:r>
      <w:r>
        <w:rPr>
          <w:rFonts w:hint="eastAsia" w:asciiTheme="minorEastAsia" w:hAnsiTheme="minorEastAsia" w:cstheme="minorEastAsia"/>
          <w:color w:val="auto"/>
          <w:kern w:val="0"/>
          <w:sz w:val="24"/>
          <w:szCs w:val="24"/>
          <w:highlight w:val="none"/>
          <w:lang w:eastAsia="zh-CN"/>
        </w:rPr>
        <w:t>体</w:t>
      </w:r>
      <w:r>
        <w:rPr>
          <w:rFonts w:hint="eastAsia" w:asciiTheme="minorEastAsia" w:hAnsiTheme="minorEastAsia" w:eastAsiaTheme="minorEastAsia" w:cstheme="minorEastAsia"/>
          <w:color w:val="auto"/>
          <w:kern w:val="0"/>
          <w:sz w:val="24"/>
          <w:szCs w:val="24"/>
          <w:highlight w:val="none"/>
        </w:rPr>
        <w:t>投标的方式</w:t>
      </w:r>
      <w:r>
        <w:rPr>
          <w:rFonts w:hint="eastAsia" w:asciiTheme="minorEastAsia" w:hAnsiTheme="minorEastAsia" w:cstheme="minorEastAsia"/>
          <w:color w:val="auto"/>
          <w:kern w:val="0"/>
          <w:sz w:val="24"/>
          <w:szCs w:val="24"/>
          <w:highlight w:val="none"/>
          <w:lang w:eastAsia="zh-CN"/>
        </w:rPr>
        <w:t>（</w:t>
      </w:r>
      <w:r>
        <w:rPr>
          <w:rFonts w:hint="eastAsia" w:asciiTheme="minorEastAsia" w:hAnsiTheme="minorEastAsia" w:cstheme="minorEastAsia"/>
          <w:color w:val="auto"/>
          <w:kern w:val="0"/>
          <w:sz w:val="24"/>
          <w:szCs w:val="24"/>
          <w:highlight w:val="none"/>
          <w:lang w:val="en-US" w:eastAsia="zh-CN"/>
        </w:rPr>
        <w:t>最多不能超过2家单位组成联合体</w:t>
      </w:r>
      <w:r>
        <w:rPr>
          <w:rFonts w:hint="eastAsia" w:asciiTheme="minorEastAsia" w:hAnsi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w:t>
      </w:r>
    </w:p>
    <w:p w14:paraId="18EB1C78">
      <w:pPr>
        <w:pStyle w:val="12"/>
        <w:spacing w:line="360" w:lineRule="auto"/>
        <w:ind w:left="540"/>
        <w:jc w:val="left"/>
        <w:rPr>
          <w:rFonts w:asciiTheme="minorEastAsia" w:hAnsiTheme="minorEastAsia" w:cstheme="minorEastAsia"/>
          <w:color w:val="auto"/>
          <w:sz w:val="24"/>
          <w:szCs w:val="24"/>
          <w:highlight w:val="none"/>
          <w:lang w:eastAsia="zh-CN"/>
        </w:rPr>
      </w:pPr>
      <w:r>
        <w:rPr>
          <w:rFonts w:asciiTheme="minorEastAsia" w:hAnsiTheme="minorEastAsia" w:cstheme="minorEastAsia"/>
          <w:b/>
          <w:color w:val="auto"/>
          <w:sz w:val="24"/>
          <w:szCs w:val="24"/>
          <w:highlight w:val="none"/>
        </w:rPr>
        <w:t>二、项目内容</w:t>
      </w:r>
    </w:p>
    <w:p w14:paraId="3925F4E6">
      <w:pPr>
        <w:pStyle w:val="12"/>
        <w:spacing w:line="360" w:lineRule="auto"/>
        <w:ind w:firstLine="480"/>
        <w:jc w:val="left"/>
        <w:rPr>
          <w:rFonts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eastAsia="zh-CN"/>
        </w:rPr>
        <w:t>一</w:t>
      </w:r>
      <w:r>
        <w:rPr>
          <w:rFonts w:asciiTheme="minorEastAsia" w:hAnsiTheme="minorEastAsia" w:cstheme="minorEastAsia"/>
          <w:color w:val="auto"/>
          <w:sz w:val="24"/>
          <w:szCs w:val="24"/>
          <w:highlight w:val="none"/>
        </w:rPr>
        <w:t>）服务内容：市政公共绿地（含攀藤植物、垂直立体绿化）养护、行道树养护、绿地保洁、</w:t>
      </w:r>
      <w:r>
        <w:rPr>
          <w:rFonts w:hint="eastAsia" w:asciiTheme="minorEastAsia" w:hAnsiTheme="minorEastAsia" w:cstheme="minorEastAsia"/>
          <w:color w:val="auto"/>
          <w:sz w:val="24"/>
          <w:szCs w:val="24"/>
          <w:highlight w:val="none"/>
          <w:lang w:val="en-US" w:eastAsia="zh-CN"/>
        </w:rPr>
        <w:t>日常</w:t>
      </w:r>
      <w:r>
        <w:rPr>
          <w:rFonts w:asciiTheme="minorEastAsia" w:hAnsiTheme="minorEastAsia" w:cstheme="minorEastAsia"/>
          <w:color w:val="auto"/>
          <w:sz w:val="24"/>
          <w:szCs w:val="24"/>
          <w:highlight w:val="none"/>
        </w:rPr>
        <w:t>修剪、淋水、施肥、松土、除杂草、病虫害防治、抢险排危等工作；园林设施（如：喷淋系统、园道等）</w:t>
      </w:r>
      <w:r>
        <w:rPr>
          <w:rFonts w:hint="eastAsia" w:asciiTheme="minorEastAsia" w:hAnsiTheme="minorEastAsia" w:cstheme="minorEastAsia"/>
          <w:color w:val="auto"/>
          <w:sz w:val="24"/>
          <w:szCs w:val="24"/>
          <w:highlight w:val="none"/>
          <w:lang w:eastAsia="zh-CN"/>
        </w:rPr>
        <w:t>、防护林带</w:t>
      </w:r>
      <w:r>
        <w:rPr>
          <w:rFonts w:asciiTheme="minorEastAsia" w:hAnsiTheme="minorEastAsia" w:cstheme="minorEastAsia"/>
          <w:color w:val="auto"/>
          <w:sz w:val="24"/>
          <w:szCs w:val="24"/>
          <w:highlight w:val="none"/>
        </w:rPr>
        <w:t>日常</w:t>
      </w:r>
      <w:r>
        <w:rPr>
          <w:rFonts w:hint="eastAsia" w:asciiTheme="minorEastAsia" w:hAnsiTheme="minorEastAsia" w:cstheme="minorEastAsia"/>
          <w:color w:val="auto"/>
          <w:sz w:val="24"/>
          <w:szCs w:val="24"/>
          <w:highlight w:val="none"/>
          <w:lang w:val="en-US" w:eastAsia="zh-CN"/>
        </w:rPr>
        <w:t>巡查</w:t>
      </w:r>
      <w:r>
        <w:rPr>
          <w:rFonts w:asciiTheme="minorEastAsia" w:hAnsiTheme="minorEastAsia" w:cstheme="minorEastAsia"/>
          <w:color w:val="auto"/>
          <w:sz w:val="24"/>
          <w:szCs w:val="24"/>
          <w:highlight w:val="none"/>
        </w:rPr>
        <w:t>看护，并及时上报采购人，完成采购人布置的临时性突击养护任务等服务。</w:t>
      </w:r>
    </w:p>
    <w:p w14:paraId="69F113BB">
      <w:pPr>
        <w:pStyle w:val="12"/>
        <w:spacing w:line="360" w:lineRule="auto"/>
        <w:ind w:firstLine="480"/>
        <w:jc w:val="both"/>
        <w:rPr>
          <w:rFonts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eastAsia="zh-CN"/>
        </w:rPr>
        <w:t>二</w:t>
      </w:r>
      <w:r>
        <w:rPr>
          <w:rFonts w:asciiTheme="minorEastAsia" w:hAnsiTheme="minorEastAsia" w:cstheme="minorEastAsia"/>
          <w:color w:val="auto"/>
          <w:sz w:val="24"/>
          <w:szCs w:val="24"/>
          <w:highlight w:val="none"/>
        </w:rPr>
        <w:t>）服务范围：行道树约</w:t>
      </w:r>
      <w:r>
        <w:rPr>
          <w:rFonts w:hint="eastAsia" w:asciiTheme="minorEastAsia" w:hAnsiTheme="minorEastAsia" w:cstheme="minorEastAsia"/>
          <w:color w:val="auto"/>
          <w:sz w:val="24"/>
          <w:szCs w:val="24"/>
          <w:highlight w:val="none"/>
          <w:lang w:eastAsia="zh-CN"/>
        </w:rPr>
        <w:t>1</w:t>
      </w:r>
      <w:r>
        <w:rPr>
          <w:rFonts w:hint="eastAsia" w:asciiTheme="minorEastAsia" w:hAnsiTheme="minorEastAsia" w:cstheme="minorEastAsia"/>
          <w:color w:val="auto"/>
          <w:sz w:val="24"/>
          <w:szCs w:val="24"/>
          <w:highlight w:val="none"/>
          <w:lang w:val="en-US" w:eastAsia="zh-CN"/>
        </w:rPr>
        <w:t>.36</w:t>
      </w:r>
      <w:r>
        <w:rPr>
          <w:rFonts w:asciiTheme="minorEastAsia" w:hAnsiTheme="minorEastAsia" w:cstheme="minorEastAsia"/>
          <w:color w:val="auto"/>
          <w:sz w:val="24"/>
          <w:szCs w:val="24"/>
          <w:highlight w:val="none"/>
        </w:rPr>
        <w:t>万株、市政公共绿地面积约</w:t>
      </w:r>
      <w:r>
        <w:rPr>
          <w:rFonts w:hint="eastAsia" w:asciiTheme="minorEastAsia" w:hAnsiTheme="minorEastAsia" w:cstheme="minorEastAsia"/>
          <w:color w:val="auto"/>
          <w:sz w:val="24"/>
          <w:szCs w:val="24"/>
          <w:highlight w:val="none"/>
          <w:lang w:val="en-US" w:eastAsia="zh-CN"/>
        </w:rPr>
        <w:t>58.05</w:t>
      </w:r>
      <w:r>
        <w:rPr>
          <w:rFonts w:asciiTheme="minorEastAsia" w:hAnsiTheme="minorEastAsia" w:cstheme="minorEastAsia"/>
          <w:color w:val="auto"/>
          <w:sz w:val="24"/>
          <w:szCs w:val="24"/>
          <w:highlight w:val="none"/>
        </w:rPr>
        <w:t>万平方米、垂直立体绿化约</w:t>
      </w:r>
      <w:r>
        <w:rPr>
          <w:rFonts w:hint="eastAsia" w:asciiTheme="minorEastAsia" w:hAnsiTheme="minorEastAsia" w:cstheme="minorEastAsia"/>
          <w:color w:val="auto"/>
          <w:sz w:val="24"/>
          <w:szCs w:val="24"/>
          <w:highlight w:val="none"/>
          <w:lang w:val="en-US" w:eastAsia="zh-CN"/>
        </w:rPr>
        <w:t>4852</w:t>
      </w:r>
      <w:r>
        <w:rPr>
          <w:rFonts w:asciiTheme="minorEastAsia" w:hAnsiTheme="minorEastAsia" w:cstheme="minorEastAsia"/>
          <w:color w:val="auto"/>
          <w:sz w:val="24"/>
          <w:szCs w:val="24"/>
          <w:highlight w:val="none"/>
        </w:rPr>
        <w:t>平方米、防护林带约</w:t>
      </w:r>
      <w:r>
        <w:rPr>
          <w:rFonts w:hint="eastAsia" w:asciiTheme="minorEastAsia" w:hAnsiTheme="minorEastAsia" w:cstheme="minorEastAsia"/>
          <w:color w:val="auto"/>
          <w:sz w:val="24"/>
          <w:szCs w:val="24"/>
          <w:highlight w:val="none"/>
          <w:lang w:eastAsia="zh-CN"/>
        </w:rPr>
        <w:t>3</w:t>
      </w:r>
      <w:r>
        <w:rPr>
          <w:rFonts w:hint="eastAsia" w:asciiTheme="minorEastAsia" w:hAnsiTheme="minorEastAsia" w:cstheme="minorEastAsia"/>
          <w:color w:val="auto"/>
          <w:sz w:val="24"/>
          <w:szCs w:val="24"/>
          <w:highlight w:val="none"/>
          <w:lang w:val="en-US" w:eastAsia="zh-CN"/>
        </w:rPr>
        <w:t>7474</w:t>
      </w:r>
      <w:r>
        <w:rPr>
          <w:rFonts w:asciiTheme="minorEastAsia" w:hAnsiTheme="minorEastAsia" w:cstheme="minorEastAsia"/>
          <w:color w:val="auto"/>
          <w:sz w:val="24"/>
          <w:szCs w:val="24"/>
          <w:highlight w:val="none"/>
        </w:rPr>
        <w:t>万平方米、</w:t>
      </w:r>
      <w:r>
        <w:rPr>
          <w:rFonts w:hint="eastAsia" w:asciiTheme="minorEastAsia" w:hAnsiTheme="minorEastAsia" w:cstheme="minorEastAsia"/>
          <w:color w:val="auto"/>
          <w:sz w:val="24"/>
          <w:szCs w:val="24"/>
          <w:highlight w:val="none"/>
          <w:lang w:eastAsia="zh-CN"/>
        </w:rPr>
        <w:t>园</w:t>
      </w:r>
      <w:r>
        <w:rPr>
          <w:rFonts w:hint="eastAsia" w:asciiTheme="minorEastAsia" w:hAnsiTheme="minorEastAsia" w:cstheme="minorEastAsia"/>
          <w:color w:val="auto"/>
          <w:sz w:val="24"/>
          <w:szCs w:val="24"/>
          <w:highlight w:val="none"/>
          <w:lang w:val="en-US" w:eastAsia="zh-CN"/>
        </w:rPr>
        <w:t>道保洁约9139平方米</w:t>
      </w:r>
      <w:r>
        <w:rPr>
          <w:rFonts w:asciiTheme="minorEastAsia" w:hAnsiTheme="minorEastAsia" w:cstheme="minorEastAsia"/>
          <w:color w:val="auto"/>
          <w:sz w:val="24"/>
          <w:szCs w:val="24"/>
          <w:highlight w:val="none"/>
        </w:rPr>
        <w:t>（以上</w:t>
      </w:r>
      <w:r>
        <w:rPr>
          <w:rFonts w:hint="eastAsia" w:asciiTheme="minorEastAsia" w:hAnsiTheme="minorEastAsia" w:cstheme="minorEastAsia"/>
          <w:color w:val="auto"/>
          <w:sz w:val="24"/>
          <w:szCs w:val="24"/>
          <w:highlight w:val="none"/>
          <w:lang w:val="en-US" w:eastAsia="zh-CN"/>
        </w:rPr>
        <w:t>工作量</w:t>
      </w:r>
      <w:r>
        <w:rPr>
          <w:rFonts w:asciiTheme="minorEastAsia" w:hAnsiTheme="minorEastAsia" w:cstheme="minorEastAsia"/>
          <w:color w:val="auto"/>
          <w:sz w:val="24"/>
          <w:szCs w:val="24"/>
          <w:highlight w:val="none"/>
        </w:rPr>
        <w:t>含预计移交养护量）。现状行道树、市政公共绿地养护量以采购人或采购人确定的第三方单位</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lang w:val="en-US" w:eastAsia="zh-CN"/>
        </w:rPr>
        <w:t>如有）</w:t>
      </w:r>
      <w:r>
        <w:rPr>
          <w:rFonts w:asciiTheme="minorEastAsia" w:hAnsiTheme="minorEastAsia" w:cstheme="minorEastAsia"/>
          <w:color w:val="auto"/>
          <w:sz w:val="24"/>
          <w:szCs w:val="24"/>
          <w:highlight w:val="none"/>
        </w:rPr>
        <w:t>、养护单位共同</w:t>
      </w:r>
      <w:r>
        <w:rPr>
          <w:rFonts w:hint="eastAsia" w:asciiTheme="minorEastAsia" w:hAnsiTheme="minorEastAsia" w:cstheme="minorEastAsia"/>
          <w:color w:val="auto"/>
          <w:sz w:val="24"/>
          <w:szCs w:val="24"/>
          <w:highlight w:val="none"/>
          <w:lang w:eastAsia="zh-CN"/>
        </w:rPr>
        <w:t>确认</w:t>
      </w:r>
      <w:r>
        <w:rPr>
          <w:rFonts w:asciiTheme="minorEastAsia" w:hAnsiTheme="minorEastAsia" w:cstheme="minorEastAsia"/>
          <w:color w:val="auto"/>
          <w:sz w:val="24"/>
          <w:szCs w:val="24"/>
          <w:highlight w:val="none"/>
        </w:rPr>
        <w:t>为准；服务期内新增养护量，待建成移交后按实际养护量增加。</w:t>
      </w:r>
    </w:p>
    <w:p w14:paraId="730AC5EF">
      <w:pPr>
        <w:pStyle w:val="12"/>
        <w:spacing w:line="360" w:lineRule="auto"/>
        <w:ind w:firstLine="420"/>
        <w:rPr>
          <w:rFonts w:asciiTheme="minorEastAsia" w:hAnsiTheme="minorEastAsia" w:cstheme="minorEastAsia"/>
          <w:color w:val="auto"/>
          <w:sz w:val="24"/>
          <w:szCs w:val="24"/>
          <w:highlight w:val="none"/>
          <w:lang w:eastAsia="zh-CN"/>
        </w:rPr>
      </w:pPr>
      <w:r>
        <w:rPr>
          <w:rFonts w:asciiTheme="minorEastAsia" w:hAnsiTheme="minorEastAsia" w:cstheme="minorEastAsia"/>
          <w:b/>
          <w:color w:val="auto"/>
          <w:sz w:val="24"/>
          <w:szCs w:val="24"/>
          <w:highlight w:val="none"/>
        </w:rPr>
        <w:t>三、项目养护范围</w:t>
      </w:r>
      <w:r>
        <w:rPr>
          <w:rFonts w:hint="eastAsia" w:asciiTheme="minorEastAsia" w:hAnsiTheme="minorEastAsia" w:cstheme="minorEastAsia"/>
          <w:b/>
          <w:color w:val="auto"/>
          <w:sz w:val="24"/>
          <w:szCs w:val="24"/>
          <w:highlight w:val="none"/>
          <w:lang w:val="en-US" w:eastAsia="zh-CN"/>
        </w:rPr>
        <w:t>及要求</w:t>
      </w:r>
    </w:p>
    <w:p w14:paraId="336AC4B6">
      <w:pPr>
        <w:pStyle w:val="12"/>
        <w:spacing w:line="360" w:lineRule="auto"/>
        <w:ind w:firstLine="480"/>
        <w:rPr>
          <w:rFonts w:hint="eastAsia" w:asciiTheme="minorEastAsia" w:hAnsiTheme="minorEastAsia" w:cstheme="minorEastAsia"/>
          <w:color w:val="auto"/>
          <w:sz w:val="24"/>
          <w:szCs w:val="24"/>
          <w:highlight w:val="none"/>
          <w:lang w:val="en-US" w:eastAsia="zh-CN"/>
        </w:rPr>
      </w:pPr>
      <w:r>
        <w:rPr>
          <w:rFonts w:asciiTheme="minorEastAsia" w:hAnsiTheme="minorEastAsia" w:cstheme="minorEastAsia"/>
          <w:color w:val="auto"/>
          <w:sz w:val="24"/>
          <w:szCs w:val="24"/>
          <w:highlight w:val="none"/>
        </w:rPr>
        <w:t>（一）项目分布：</w:t>
      </w:r>
      <w:r>
        <w:rPr>
          <w:rFonts w:hint="eastAsia" w:asciiTheme="minorEastAsia" w:hAnsiTheme="minorEastAsia" w:cstheme="minorEastAsia"/>
          <w:color w:val="auto"/>
          <w:sz w:val="24"/>
          <w:szCs w:val="24"/>
          <w:highlight w:val="none"/>
          <w:lang w:val="en-US" w:eastAsia="zh-CN"/>
        </w:rPr>
        <w:t xml:space="preserve">北至科林路科丰路隧道，南至黄埔大道东、港前路，东至黄埔大道（天河-黄埔界），西至黄埔东路（黄埔-增城界） </w:t>
      </w:r>
    </w:p>
    <w:p w14:paraId="34A04131">
      <w:pPr>
        <w:pStyle w:val="12"/>
        <w:spacing w:line="360" w:lineRule="auto"/>
        <w:ind w:firstLine="480"/>
        <w:rPr>
          <w:rFonts w:hint="eastAsia" w:asciiTheme="minorEastAsia" w:hAnsiTheme="minorEastAsia" w:cstheme="minorEastAsia"/>
          <w:color w:val="auto"/>
          <w:sz w:val="24"/>
          <w:szCs w:val="24"/>
          <w:highlight w:val="none"/>
          <w:lang w:val="en-US" w:eastAsia="zh-CN"/>
        </w:rPr>
      </w:pPr>
    </w:p>
    <w:p w14:paraId="6159A616">
      <w:pPr>
        <w:pStyle w:val="12"/>
        <w:spacing w:line="360" w:lineRule="auto"/>
        <w:ind w:firstLine="480"/>
        <w:rPr>
          <w:rFonts w:hint="eastAsia" w:asciiTheme="minorEastAsia" w:hAnsiTheme="minorEastAsia" w:cstheme="minorEastAsia"/>
          <w:color w:val="auto"/>
          <w:sz w:val="24"/>
          <w:szCs w:val="24"/>
          <w:highlight w:val="none"/>
          <w:lang w:val="en-US" w:eastAsia="zh-CN"/>
        </w:rPr>
      </w:pPr>
    </w:p>
    <w:p w14:paraId="152F23BA">
      <w:pPr>
        <w:pStyle w:val="12"/>
        <w:spacing w:line="360" w:lineRule="auto"/>
        <w:ind w:firstLine="480"/>
        <w:rPr>
          <w:rFonts w:hint="eastAsia" w:asciiTheme="minorEastAsia" w:hAnsiTheme="minorEastAsia" w:cstheme="minorEastAsia"/>
          <w:color w:val="auto"/>
          <w:sz w:val="24"/>
          <w:szCs w:val="24"/>
          <w:highlight w:val="none"/>
          <w:lang w:val="en-US" w:eastAsia="zh-CN"/>
        </w:rPr>
      </w:pPr>
    </w:p>
    <w:p w14:paraId="73B4121A">
      <w:pPr>
        <w:pStyle w:val="12"/>
        <w:spacing w:line="360" w:lineRule="auto"/>
        <w:ind w:firstLine="480"/>
        <w:rPr>
          <w:rFonts w:hint="eastAsia" w:asciiTheme="minorEastAsia" w:hAnsiTheme="minorEastAsia" w:cstheme="minorEastAsia"/>
          <w:color w:val="auto"/>
          <w:sz w:val="24"/>
          <w:szCs w:val="24"/>
          <w:highlight w:val="none"/>
          <w:lang w:val="en-US" w:eastAsia="zh-CN"/>
        </w:rPr>
      </w:pPr>
    </w:p>
    <w:p w14:paraId="0CA2EDD8">
      <w:pPr>
        <w:pStyle w:val="12"/>
        <w:spacing w:line="360" w:lineRule="auto"/>
        <w:ind w:firstLine="480"/>
        <w:rPr>
          <w:rFonts w:hint="eastAsia" w:asciiTheme="minorEastAsia" w:hAnsiTheme="minorEastAsia" w:cstheme="minorEastAsia"/>
          <w:color w:val="auto"/>
          <w:sz w:val="24"/>
          <w:szCs w:val="24"/>
          <w:highlight w:val="none"/>
          <w:lang w:val="en-US" w:eastAsia="zh-CN"/>
        </w:rPr>
      </w:pPr>
    </w:p>
    <w:p w14:paraId="264E1A60">
      <w:pPr>
        <w:pStyle w:val="12"/>
        <w:spacing w:line="360" w:lineRule="auto"/>
        <w:ind w:firstLine="480"/>
        <w:rPr>
          <w:rFonts w:hint="eastAsia" w:asciiTheme="minorEastAsia" w:hAnsiTheme="minorEastAsia" w:cstheme="minorEastAsia"/>
          <w:color w:val="auto"/>
          <w:sz w:val="24"/>
          <w:szCs w:val="24"/>
          <w:highlight w:val="none"/>
          <w:lang w:val="en-US" w:eastAsia="zh-CN"/>
        </w:rPr>
      </w:pPr>
    </w:p>
    <w:p w14:paraId="231A60CF">
      <w:pPr>
        <w:pStyle w:val="12"/>
        <w:spacing w:line="360" w:lineRule="auto"/>
        <w:ind w:firstLine="480"/>
        <w:rPr>
          <w:rFonts w:hint="eastAsia" w:asciiTheme="minorEastAsia" w:hAnsiTheme="minorEastAsia" w:cstheme="minorEastAsia"/>
          <w:color w:val="auto"/>
          <w:sz w:val="24"/>
          <w:szCs w:val="24"/>
          <w:highlight w:val="none"/>
          <w:lang w:val="en-US" w:eastAsia="zh-CN"/>
        </w:rPr>
      </w:pPr>
    </w:p>
    <w:p w14:paraId="040A389C">
      <w:pPr>
        <w:pStyle w:val="12"/>
        <w:spacing w:line="360" w:lineRule="auto"/>
        <w:ind w:firstLine="480"/>
        <w:rPr>
          <w:rFonts w:hint="eastAsia" w:asciiTheme="minorEastAsia" w:hAnsiTheme="minorEastAsia" w:cstheme="minorEastAsia"/>
          <w:color w:val="auto"/>
          <w:sz w:val="24"/>
          <w:szCs w:val="24"/>
          <w:highlight w:val="none"/>
          <w:lang w:val="en-US" w:eastAsia="zh-CN"/>
        </w:rPr>
      </w:pPr>
    </w:p>
    <w:p w14:paraId="1109DAAC">
      <w:pPr>
        <w:pStyle w:val="12"/>
        <w:spacing w:line="360" w:lineRule="auto"/>
        <w:ind w:firstLine="480"/>
        <w:rPr>
          <w:rFonts w:hint="eastAsia" w:asciiTheme="minorEastAsia" w:hAnsiTheme="minorEastAsia" w:cstheme="minorEastAsia"/>
          <w:color w:val="auto"/>
          <w:sz w:val="24"/>
          <w:szCs w:val="24"/>
          <w:highlight w:val="none"/>
          <w:lang w:val="en-US" w:eastAsia="zh-CN"/>
        </w:rPr>
      </w:pPr>
    </w:p>
    <w:p w14:paraId="22FD6848">
      <w:pPr>
        <w:pStyle w:val="12"/>
        <w:spacing w:line="360" w:lineRule="auto"/>
        <w:ind w:firstLine="480"/>
        <w:rPr>
          <w:rFonts w:hint="eastAsia" w:asciiTheme="minorEastAsia" w:hAnsiTheme="minorEastAsia" w:cstheme="minorEastAsia"/>
          <w:color w:val="auto"/>
          <w:sz w:val="24"/>
          <w:szCs w:val="24"/>
          <w:highlight w:val="none"/>
          <w:lang w:eastAsia="zh-CN"/>
        </w:rPr>
      </w:pPr>
    </w:p>
    <w:p w14:paraId="1B2281A5">
      <w:pPr>
        <w:pStyle w:val="12"/>
        <w:spacing w:line="360" w:lineRule="auto"/>
        <w:ind w:firstLine="0"/>
        <w:rPr>
          <w:rFonts w:hint="eastAsia" w:asciiTheme="minorEastAsia" w:hAnsiTheme="minorEastAsia" w:cstheme="minorEastAsia"/>
          <w:color w:val="auto"/>
          <w:sz w:val="24"/>
          <w:szCs w:val="24"/>
          <w:highlight w:val="none"/>
          <w:lang w:val="en-US" w:eastAsia="zh-CN"/>
        </w:rPr>
        <w:sectPr>
          <w:footerReference r:id="rId3" w:type="default"/>
          <w:pgSz w:w="11906" w:h="16838"/>
          <w:pgMar w:top="1440" w:right="1800" w:bottom="1440" w:left="1800" w:header="851" w:footer="992" w:gutter="0"/>
          <w:pgNumType w:fmt="decimal"/>
          <w:cols w:space="425" w:num="1"/>
          <w:docGrid w:type="lines" w:linePitch="312" w:charSpace="0"/>
        </w:sectPr>
      </w:pPr>
    </w:p>
    <w:p w14:paraId="1BE82FA0">
      <w:pPr>
        <w:pStyle w:val="12"/>
        <w:numPr>
          <w:ilvl w:val="0"/>
          <w:numId w:val="1"/>
        </w:numPr>
        <w:spacing w:line="360" w:lineRule="auto"/>
        <w:ind w:firstLine="0"/>
        <w:rPr>
          <w:rFonts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黄埔区</w:t>
      </w:r>
      <w:r>
        <w:rPr>
          <w:rFonts w:hint="eastAsia" w:asciiTheme="minorEastAsia" w:hAnsiTheme="minorEastAsia" w:cstheme="minorEastAsia"/>
          <w:color w:val="auto"/>
          <w:sz w:val="24"/>
          <w:szCs w:val="24"/>
          <w:highlight w:val="none"/>
          <w:lang w:val="en-US" w:eastAsia="zh-CN"/>
        </w:rPr>
        <w:t>大沙片区</w:t>
      </w:r>
      <w:r>
        <w:rPr>
          <w:rFonts w:asciiTheme="minorEastAsia" w:hAnsiTheme="minorEastAsia" w:cstheme="minorEastAsia"/>
          <w:color w:val="auto"/>
          <w:sz w:val="24"/>
          <w:szCs w:val="24"/>
          <w:highlight w:val="none"/>
        </w:rPr>
        <w:t>绿化养护量清单</w:t>
      </w:r>
    </w:p>
    <w:tbl>
      <w:tblPr>
        <w:tblStyle w:val="10"/>
        <w:tblW w:w="5087" w:type="pct"/>
        <w:tblInd w:w="-391"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126"/>
        <w:gridCol w:w="1379"/>
        <w:gridCol w:w="1362"/>
        <w:gridCol w:w="1820"/>
        <w:gridCol w:w="1578"/>
        <w:gridCol w:w="1359"/>
        <w:gridCol w:w="1517"/>
        <w:gridCol w:w="1517"/>
        <w:gridCol w:w="1757"/>
      </w:tblGrid>
      <w:tr w14:paraId="6A4353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102" w:hRule="atLeast"/>
        </w:trPr>
        <w:tc>
          <w:tcPr>
            <w:tcW w:w="737" w:type="pct"/>
            <w:tcBorders>
              <w:top w:val="single" w:color="000000" w:sz="4" w:space="0"/>
              <w:left w:val="single" w:color="auto" w:sz="4" w:space="0"/>
              <w:bottom w:val="single" w:color="000000" w:sz="4" w:space="0"/>
              <w:right w:val="single" w:color="000000" w:sz="4" w:space="0"/>
            </w:tcBorders>
            <w:tcMar>
              <w:top w:w="0" w:type="dxa"/>
              <w:left w:w="105" w:type="dxa"/>
              <w:bottom w:w="0" w:type="dxa"/>
              <w:right w:w="105" w:type="dxa"/>
            </w:tcMar>
            <w:vAlign w:val="center"/>
          </w:tcPr>
          <w:p w14:paraId="2F60DDDC">
            <w:pPr>
              <w:pStyle w:val="12"/>
              <w:spacing w:line="360" w:lineRule="auto"/>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养护范围</w:t>
            </w:r>
          </w:p>
        </w:tc>
        <w:tc>
          <w:tcPr>
            <w:tcW w:w="478" w:type="pct"/>
            <w:tcBorders>
              <w:top w:val="single" w:color="000000" w:sz="4" w:space="0"/>
              <w:left w:val="single" w:color="auto" w:sz="4" w:space="0"/>
              <w:bottom w:val="single" w:color="000000" w:sz="4" w:space="0"/>
              <w:right w:val="single" w:color="000000" w:sz="4" w:space="0"/>
            </w:tcBorders>
            <w:tcMar>
              <w:top w:w="0" w:type="dxa"/>
              <w:left w:w="105" w:type="dxa"/>
              <w:bottom w:w="0" w:type="dxa"/>
              <w:right w:w="105" w:type="dxa"/>
            </w:tcMar>
            <w:vAlign w:val="center"/>
          </w:tcPr>
          <w:p w14:paraId="3281E9E5">
            <w:pPr>
              <w:pStyle w:val="12"/>
              <w:spacing w:line="360" w:lineRule="auto"/>
              <w:jc w:val="center"/>
              <w:rPr>
                <w:rFonts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行道树（株）</w:t>
            </w:r>
          </w:p>
        </w:tc>
        <w:tc>
          <w:tcPr>
            <w:tcW w:w="472"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68191EC3">
            <w:pPr>
              <w:pStyle w:val="12"/>
              <w:spacing w:line="360" w:lineRule="auto"/>
              <w:jc w:val="center"/>
              <w:rPr>
                <w:rFonts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行道树预计移交量（株）</w:t>
            </w:r>
          </w:p>
        </w:tc>
        <w:tc>
          <w:tcPr>
            <w:tcW w:w="631"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5C2913A0">
            <w:pPr>
              <w:pStyle w:val="12"/>
              <w:spacing w:line="360" w:lineRule="auto"/>
              <w:jc w:val="center"/>
              <w:rPr>
                <w:rFonts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市政公共绿地</w:t>
            </w:r>
          </w:p>
          <w:p w14:paraId="7B51062B">
            <w:pPr>
              <w:pStyle w:val="12"/>
              <w:spacing w:line="360" w:lineRule="auto"/>
              <w:jc w:val="center"/>
              <w:rPr>
                <w:rFonts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面积</w:t>
            </w:r>
          </w:p>
          <w:p w14:paraId="7C21E4BA">
            <w:pPr>
              <w:pStyle w:val="12"/>
              <w:spacing w:line="360" w:lineRule="auto"/>
              <w:jc w:val="center"/>
              <w:rPr>
                <w:rFonts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w:t>
            </w:r>
          </w:p>
        </w:tc>
        <w:tc>
          <w:tcPr>
            <w:tcW w:w="547"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11E3FE7E">
            <w:pPr>
              <w:pStyle w:val="12"/>
              <w:spacing w:line="360" w:lineRule="auto"/>
              <w:jc w:val="center"/>
              <w:rPr>
                <w:rFonts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预计移交市政公共绿地面积（㎡）</w:t>
            </w:r>
          </w:p>
        </w:tc>
        <w:tc>
          <w:tcPr>
            <w:tcW w:w="471"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3F65D20F">
            <w:pPr>
              <w:pStyle w:val="12"/>
              <w:spacing w:line="360" w:lineRule="auto"/>
              <w:jc w:val="center"/>
              <w:rPr>
                <w:rFonts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养护标准</w:t>
            </w:r>
          </w:p>
        </w:tc>
        <w:tc>
          <w:tcPr>
            <w:tcW w:w="526"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2C220771">
            <w:pPr>
              <w:pStyle w:val="12"/>
              <w:spacing w:line="360" w:lineRule="auto"/>
              <w:jc w:val="center"/>
              <w:rPr>
                <w:rFonts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垂直立体绿化面积（㎡）</w:t>
            </w:r>
          </w:p>
        </w:tc>
        <w:tc>
          <w:tcPr>
            <w:tcW w:w="526"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70CE4BC8">
            <w:pPr>
              <w:pStyle w:val="12"/>
              <w:spacing w:line="360" w:lineRule="auto"/>
              <w:jc w:val="center"/>
              <w:rPr>
                <w:rFonts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预计移交垂直立体绿化面积（㎡）</w:t>
            </w:r>
          </w:p>
        </w:tc>
        <w:tc>
          <w:tcPr>
            <w:tcW w:w="609" w:type="pct"/>
            <w:tcBorders>
              <w:top w:val="single" w:color="000000" w:sz="4" w:space="0"/>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789A1260">
            <w:pPr>
              <w:pStyle w:val="12"/>
              <w:spacing w:line="360" w:lineRule="auto"/>
              <w:jc w:val="center"/>
              <w:rPr>
                <w:rFonts w:hint="eastAsia" w:asciiTheme="minorEastAsia" w:hAnsiTheme="minorEastAsia" w:eastAsiaTheme="minorEastAsia" w:cstheme="minorEastAsia"/>
                <w:color w:val="auto"/>
                <w:sz w:val="24"/>
                <w:szCs w:val="24"/>
                <w:highlight w:val="none"/>
                <w:lang w:val="en-US" w:eastAsia="zh-Hans"/>
              </w:rPr>
            </w:pPr>
            <w:r>
              <w:rPr>
                <w:rFonts w:hint="eastAsia" w:asciiTheme="minorEastAsia" w:hAnsiTheme="minorEastAsia" w:cstheme="minorEastAsia"/>
                <w:color w:val="auto"/>
                <w:sz w:val="24"/>
                <w:szCs w:val="24"/>
                <w:highlight w:val="none"/>
              </w:rPr>
              <w:t>体育后花园园道保洁</w:t>
            </w:r>
            <w:r>
              <w:rPr>
                <w:rFonts w:hint="eastAsia" w:asciiTheme="minorEastAsia" w:hAnsiTheme="minorEastAsia" w:cstheme="minorEastAsia"/>
                <w:color w:val="auto"/>
                <w:sz w:val="24"/>
                <w:szCs w:val="24"/>
                <w:highlight w:val="none"/>
                <w:lang w:val="en-US" w:eastAsia="zh-CN"/>
              </w:rPr>
              <w:t>面积</w:t>
            </w:r>
            <w:r>
              <w:rPr>
                <w:rFonts w:asciiTheme="minorEastAsia" w:hAnsiTheme="minorEastAsia" w:cstheme="minorEastAsia"/>
                <w:color w:val="auto"/>
                <w:sz w:val="24"/>
                <w:szCs w:val="24"/>
                <w:highlight w:val="none"/>
              </w:rPr>
              <w:t>（㎡）</w:t>
            </w:r>
          </w:p>
        </w:tc>
      </w:tr>
      <w:tr w14:paraId="1B83AB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768" w:hRule="atLeast"/>
        </w:trPr>
        <w:tc>
          <w:tcPr>
            <w:tcW w:w="737" w:type="pct"/>
            <w:vMerge w:val="restart"/>
            <w:tcBorders>
              <w:top w:val="nil"/>
              <w:left w:val="single" w:color="auto" w:sz="4" w:space="0"/>
              <w:right w:val="single" w:color="000000" w:sz="4" w:space="0"/>
            </w:tcBorders>
            <w:shd w:val="clear" w:color="auto" w:fill="auto"/>
            <w:tcMar>
              <w:top w:w="0" w:type="dxa"/>
              <w:left w:w="105" w:type="dxa"/>
              <w:bottom w:w="0" w:type="dxa"/>
              <w:right w:w="105" w:type="dxa"/>
            </w:tcMar>
            <w:vAlign w:val="center"/>
          </w:tcPr>
          <w:p w14:paraId="50F8FE43">
            <w:pPr>
              <w:spacing w:line="360" w:lineRule="auto"/>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cstheme="minorEastAsia"/>
                <w:i w:val="0"/>
                <w:iCs w:val="0"/>
                <w:color w:val="auto"/>
                <w:kern w:val="0"/>
                <w:sz w:val="24"/>
                <w:szCs w:val="24"/>
                <w:highlight w:val="none"/>
                <w:u w:val="none"/>
                <w:lang w:val="en-US" w:eastAsia="zh-CN" w:bidi="ar"/>
              </w:rPr>
              <w:t>黄埔东路、黄埔大道东，中山大道，丰乐路，茅岗路，护林路，茅岗立交，石化路，隔墙路等</w:t>
            </w:r>
          </w:p>
        </w:tc>
        <w:tc>
          <w:tcPr>
            <w:tcW w:w="478" w:type="pct"/>
            <w:vMerge w:val="restart"/>
            <w:tcBorders>
              <w:top w:val="nil"/>
              <w:left w:val="single" w:color="auto" w:sz="4" w:space="0"/>
              <w:bottom w:val="single" w:color="000000" w:sz="4" w:space="0"/>
              <w:right w:val="single" w:color="000000" w:sz="4" w:space="0"/>
            </w:tcBorders>
            <w:shd w:val="clear" w:color="auto" w:fill="auto"/>
            <w:tcMar>
              <w:top w:w="0" w:type="dxa"/>
              <w:left w:w="105" w:type="dxa"/>
              <w:bottom w:w="0" w:type="dxa"/>
              <w:right w:w="105" w:type="dxa"/>
            </w:tcMar>
            <w:vAlign w:val="center"/>
          </w:tcPr>
          <w:p w14:paraId="7C80B237">
            <w:pPr>
              <w:spacing w:line="360" w:lineRule="auto"/>
              <w:jc w:val="center"/>
              <w:textAlignment w:val="center"/>
              <w:rPr>
                <w:rFonts w:hint="eastAsia" w:asciiTheme="minorEastAsia" w:hAnsiTheme="minorEastAsia" w:cstheme="minorEastAsia"/>
                <w:color w:val="auto"/>
                <w:sz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11493.00</w:t>
            </w:r>
          </w:p>
        </w:tc>
        <w:tc>
          <w:tcPr>
            <w:tcW w:w="472" w:type="pct"/>
            <w:vMerge w:val="restart"/>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58BB364F">
            <w:pPr>
              <w:widowControl/>
              <w:spacing w:line="360" w:lineRule="auto"/>
              <w:jc w:val="center"/>
              <w:textAlignment w:val="center"/>
              <w:rPr>
                <w:rFonts w:hint="eastAsia" w:asciiTheme="minorEastAsia" w:hAnsiTheme="minorEastAsia" w:eastAsiaTheme="minorEastAsia" w:cstheme="minorEastAsia"/>
                <w:color w:val="auto"/>
                <w:kern w:val="0"/>
                <w:sz w:val="24"/>
                <w:szCs w:val="24"/>
                <w:highlight w:val="none"/>
                <w:u w:val="none"/>
                <w:lang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2060.00</w:t>
            </w:r>
          </w:p>
        </w:tc>
        <w:tc>
          <w:tcPr>
            <w:tcW w:w="631" w:type="pct"/>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676E7E58">
            <w:pPr>
              <w:keepNext w:val="0"/>
              <w:keepLines w:val="0"/>
              <w:widowControl/>
              <w:suppressLineNumbers w:val="0"/>
              <w:spacing w:line="360" w:lineRule="auto"/>
              <w:jc w:val="center"/>
              <w:textAlignment w:val="center"/>
              <w:rPr>
                <w:rFonts w:hint="default" w:asciiTheme="minorEastAsia" w:hAnsiTheme="minorEastAsia" w:eastAsiaTheme="minorEastAsia" w:cstheme="minorEastAsia"/>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85444.9</w:t>
            </w:r>
            <w:r>
              <w:rPr>
                <w:rFonts w:hint="eastAsia" w:asciiTheme="minorEastAsia" w:hAnsiTheme="minorEastAsia" w:cstheme="minorEastAsia"/>
                <w:i w:val="0"/>
                <w:iCs w:val="0"/>
                <w:color w:val="auto"/>
                <w:kern w:val="0"/>
                <w:sz w:val="24"/>
                <w:szCs w:val="24"/>
                <w:highlight w:val="none"/>
                <w:u w:val="none"/>
                <w:lang w:val="en-US" w:eastAsia="zh-CN" w:bidi="ar"/>
              </w:rPr>
              <w:t>46</w:t>
            </w:r>
          </w:p>
        </w:tc>
        <w:tc>
          <w:tcPr>
            <w:tcW w:w="547" w:type="pct"/>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6A805565">
            <w:pPr>
              <w:keepNext w:val="0"/>
              <w:keepLines w:val="0"/>
              <w:widowControl/>
              <w:suppressLineNumbers w:val="0"/>
              <w:spacing w:line="360" w:lineRule="auto"/>
              <w:jc w:val="center"/>
              <w:textAlignment w:val="center"/>
              <w:rPr>
                <w:rFonts w:hint="default" w:asciiTheme="minorEastAsia" w:hAnsiTheme="minorEastAsia" w:eastAsiaTheme="minorEastAsia" w:cstheme="minorEastAsia"/>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20000</w:t>
            </w:r>
            <w:r>
              <w:rPr>
                <w:rFonts w:hint="eastAsia" w:asciiTheme="minorEastAsia" w:hAnsiTheme="minorEastAsia" w:cstheme="minorEastAsia"/>
                <w:i w:val="0"/>
                <w:iCs w:val="0"/>
                <w:color w:val="auto"/>
                <w:kern w:val="0"/>
                <w:sz w:val="24"/>
                <w:szCs w:val="24"/>
                <w:highlight w:val="none"/>
                <w:u w:val="none"/>
                <w:lang w:val="en-US" w:eastAsia="zh-CN" w:bidi="ar"/>
              </w:rPr>
              <w:t>.00</w:t>
            </w:r>
          </w:p>
        </w:tc>
        <w:tc>
          <w:tcPr>
            <w:tcW w:w="471" w:type="pct"/>
            <w:tcBorders>
              <w:top w:val="nil"/>
              <w:left w:val="nil"/>
              <w:bottom w:val="single" w:color="000000" w:sz="4" w:space="0"/>
              <w:right w:val="single" w:color="000000" w:sz="4" w:space="0"/>
            </w:tcBorders>
            <w:tcMar>
              <w:top w:w="0" w:type="dxa"/>
              <w:left w:w="105" w:type="dxa"/>
              <w:bottom w:w="0" w:type="dxa"/>
              <w:right w:w="105" w:type="dxa"/>
            </w:tcMar>
            <w:vAlign w:val="center"/>
          </w:tcPr>
          <w:p w14:paraId="2B96D8F6">
            <w:pPr>
              <w:spacing w:line="360" w:lineRule="auto"/>
              <w:jc w:val="center"/>
              <w:textAlignment w:val="center"/>
              <w:rPr>
                <w:rFonts w:hint="eastAsia" w:asciiTheme="minorEastAsia" w:hAnsiTheme="minorEastAsia" w:eastAsiaTheme="minorEastAsia" w:cstheme="minorEastAsia"/>
                <w:color w:val="auto"/>
                <w:kern w:val="0"/>
                <w:sz w:val="24"/>
                <w:szCs w:val="24"/>
                <w:highlight w:val="none"/>
                <w:u w:val="none"/>
                <w:lang w:bidi="ar"/>
              </w:rPr>
            </w:pPr>
            <w:r>
              <w:rPr>
                <w:rFonts w:hint="eastAsia" w:asciiTheme="minorEastAsia" w:hAnsiTheme="minorEastAsia" w:eastAsiaTheme="minorEastAsia" w:cstheme="minorEastAsia"/>
                <w:color w:val="auto"/>
                <w:kern w:val="0"/>
                <w:sz w:val="24"/>
                <w:szCs w:val="24"/>
                <w:highlight w:val="none"/>
                <w:u w:val="none"/>
                <w:lang w:bidi="ar"/>
              </w:rPr>
              <w:t>一级养护</w:t>
            </w:r>
          </w:p>
        </w:tc>
        <w:tc>
          <w:tcPr>
            <w:tcW w:w="526" w:type="pct"/>
            <w:vMerge w:val="restart"/>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3CD56DCB">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2351.98</w:t>
            </w:r>
          </w:p>
        </w:tc>
        <w:tc>
          <w:tcPr>
            <w:tcW w:w="526" w:type="pct"/>
            <w:vMerge w:val="restart"/>
            <w:tcBorders>
              <w:top w:val="nil"/>
              <w:left w:val="nil"/>
              <w:right w:val="single" w:color="000000" w:sz="4" w:space="0"/>
            </w:tcBorders>
            <w:shd w:val="clear" w:color="auto" w:fill="auto"/>
            <w:tcMar>
              <w:top w:w="0" w:type="dxa"/>
              <w:left w:w="105" w:type="dxa"/>
              <w:bottom w:w="0" w:type="dxa"/>
              <w:right w:w="105" w:type="dxa"/>
            </w:tcMar>
            <w:vAlign w:val="center"/>
          </w:tcPr>
          <w:p w14:paraId="45DC6ED2">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color w:val="auto"/>
                <w:kern w:val="0"/>
                <w:sz w:val="24"/>
                <w:szCs w:val="24"/>
                <w:highlight w:val="none"/>
                <w:u w:val="none"/>
                <w:lang w:val="en-US" w:eastAsia="zh-CN" w:bidi="ar"/>
              </w:rPr>
            </w:pPr>
            <w:r>
              <w:rPr>
                <w:rFonts w:hint="eastAsia" w:asciiTheme="minorEastAsia" w:hAnsiTheme="minorEastAsia" w:cstheme="minorEastAsia"/>
                <w:i w:val="0"/>
                <w:iCs w:val="0"/>
                <w:color w:val="auto"/>
                <w:kern w:val="0"/>
                <w:sz w:val="24"/>
                <w:szCs w:val="24"/>
                <w:highlight w:val="none"/>
                <w:u w:val="none"/>
                <w:lang w:val="en-US" w:eastAsia="zh-CN" w:bidi="ar"/>
              </w:rPr>
              <w:t>2500</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.00</w:t>
            </w:r>
          </w:p>
        </w:tc>
        <w:tc>
          <w:tcPr>
            <w:tcW w:w="609" w:type="pct"/>
            <w:vMerge w:val="restart"/>
            <w:tcBorders>
              <w:top w:val="nil"/>
              <w:left w:val="nil"/>
              <w:right w:val="single" w:color="000000" w:sz="4" w:space="0"/>
            </w:tcBorders>
            <w:shd w:val="clear" w:color="auto" w:fill="auto"/>
            <w:tcMar>
              <w:top w:w="0" w:type="dxa"/>
              <w:left w:w="105" w:type="dxa"/>
              <w:bottom w:w="0" w:type="dxa"/>
              <w:right w:w="105" w:type="dxa"/>
            </w:tcMar>
            <w:vAlign w:val="center"/>
          </w:tcPr>
          <w:p w14:paraId="4D0C0A97">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9139.18</w:t>
            </w:r>
          </w:p>
        </w:tc>
      </w:tr>
      <w:tr w14:paraId="041909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598" w:hRule="atLeast"/>
        </w:trPr>
        <w:tc>
          <w:tcPr>
            <w:tcW w:w="737" w:type="pct"/>
            <w:vMerge w:val="continue"/>
            <w:tcBorders>
              <w:left w:val="single" w:color="auto" w:sz="4" w:space="0"/>
              <w:right w:val="single" w:color="000000" w:sz="4" w:space="0"/>
            </w:tcBorders>
          </w:tcPr>
          <w:p w14:paraId="196ED987">
            <w:pPr>
              <w:spacing w:line="360" w:lineRule="auto"/>
              <w:rPr>
                <w:rFonts w:hint="eastAsia" w:asciiTheme="minorEastAsia" w:hAnsiTheme="minorEastAsia" w:cstheme="minorEastAsia"/>
                <w:color w:val="auto"/>
                <w:sz w:val="24"/>
                <w:highlight w:val="none"/>
              </w:rPr>
            </w:pPr>
          </w:p>
        </w:tc>
        <w:tc>
          <w:tcPr>
            <w:tcW w:w="478" w:type="pct"/>
            <w:vMerge w:val="continue"/>
            <w:tcBorders>
              <w:top w:val="nil"/>
              <w:left w:val="single" w:color="auto" w:sz="4" w:space="0"/>
              <w:bottom w:val="single" w:color="000000" w:sz="4" w:space="0"/>
              <w:right w:val="single" w:color="000000" w:sz="4" w:space="0"/>
            </w:tcBorders>
          </w:tcPr>
          <w:p w14:paraId="2B84C051">
            <w:pPr>
              <w:spacing w:line="360" w:lineRule="auto"/>
              <w:rPr>
                <w:rFonts w:hint="eastAsia" w:asciiTheme="minorEastAsia" w:hAnsiTheme="minorEastAsia" w:cstheme="minorEastAsia"/>
                <w:color w:val="auto"/>
                <w:sz w:val="24"/>
                <w:highlight w:val="none"/>
              </w:rPr>
            </w:pPr>
          </w:p>
        </w:tc>
        <w:tc>
          <w:tcPr>
            <w:tcW w:w="472" w:type="pct"/>
            <w:vMerge w:val="continue"/>
            <w:tcBorders>
              <w:top w:val="nil"/>
              <w:left w:val="nil"/>
              <w:bottom w:val="single" w:color="000000" w:sz="4" w:space="0"/>
              <w:right w:val="single" w:color="000000" w:sz="4" w:space="0"/>
            </w:tcBorders>
          </w:tcPr>
          <w:p w14:paraId="6A2EEB52">
            <w:pPr>
              <w:spacing w:line="360" w:lineRule="auto"/>
              <w:rPr>
                <w:rFonts w:hint="eastAsia" w:asciiTheme="minorEastAsia" w:hAnsiTheme="minorEastAsia" w:cstheme="minorEastAsia"/>
                <w:color w:val="auto"/>
                <w:sz w:val="24"/>
                <w:highlight w:val="none"/>
              </w:rPr>
            </w:pPr>
          </w:p>
        </w:tc>
        <w:tc>
          <w:tcPr>
            <w:tcW w:w="631" w:type="pct"/>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053A4935">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0.00</w:t>
            </w:r>
          </w:p>
        </w:tc>
        <w:tc>
          <w:tcPr>
            <w:tcW w:w="547" w:type="pct"/>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5C7BA358">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26000.00</w:t>
            </w:r>
          </w:p>
        </w:tc>
        <w:tc>
          <w:tcPr>
            <w:tcW w:w="471" w:type="pct"/>
            <w:tcBorders>
              <w:top w:val="nil"/>
              <w:left w:val="nil"/>
              <w:bottom w:val="single" w:color="000000" w:sz="4" w:space="0"/>
              <w:right w:val="single" w:color="000000" w:sz="4" w:space="0"/>
            </w:tcBorders>
            <w:tcMar>
              <w:top w:w="0" w:type="dxa"/>
              <w:left w:w="105" w:type="dxa"/>
              <w:bottom w:w="0" w:type="dxa"/>
              <w:right w:w="105" w:type="dxa"/>
            </w:tcMar>
            <w:vAlign w:val="center"/>
          </w:tcPr>
          <w:p w14:paraId="55941215">
            <w:pPr>
              <w:spacing w:line="360" w:lineRule="auto"/>
              <w:jc w:val="center"/>
              <w:textAlignment w:val="center"/>
              <w:rPr>
                <w:rFonts w:hint="eastAsia" w:asciiTheme="minorEastAsia" w:hAnsiTheme="minorEastAsia" w:eastAsiaTheme="minorEastAsia" w:cstheme="minorEastAsia"/>
                <w:color w:val="auto"/>
                <w:kern w:val="0"/>
                <w:sz w:val="24"/>
                <w:szCs w:val="24"/>
                <w:highlight w:val="none"/>
                <w:u w:val="none"/>
                <w:lang w:bidi="ar"/>
              </w:rPr>
            </w:pPr>
            <w:r>
              <w:rPr>
                <w:rFonts w:hint="eastAsia" w:asciiTheme="minorEastAsia" w:hAnsiTheme="minorEastAsia" w:cstheme="minorEastAsia"/>
                <w:color w:val="auto"/>
                <w:kern w:val="0"/>
                <w:sz w:val="24"/>
                <w:szCs w:val="24"/>
                <w:highlight w:val="none"/>
                <w:u w:val="none"/>
                <w:lang w:val="en-US" w:eastAsia="zh-CN" w:bidi="ar"/>
              </w:rPr>
              <w:t>二</w:t>
            </w:r>
            <w:r>
              <w:rPr>
                <w:rFonts w:hint="eastAsia" w:asciiTheme="minorEastAsia" w:hAnsiTheme="minorEastAsia" w:eastAsiaTheme="minorEastAsia" w:cstheme="minorEastAsia"/>
                <w:color w:val="auto"/>
                <w:kern w:val="0"/>
                <w:sz w:val="24"/>
                <w:szCs w:val="24"/>
                <w:highlight w:val="none"/>
                <w:u w:val="none"/>
                <w:lang w:bidi="ar"/>
              </w:rPr>
              <w:t>级养护</w:t>
            </w:r>
          </w:p>
        </w:tc>
        <w:tc>
          <w:tcPr>
            <w:tcW w:w="526" w:type="pct"/>
            <w:vMerge w:val="continue"/>
            <w:tcBorders>
              <w:top w:val="nil"/>
              <w:left w:val="nil"/>
              <w:bottom w:val="single" w:color="000000" w:sz="4" w:space="0"/>
              <w:right w:val="single" w:color="000000" w:sz="4" w:space="0"/>
            </w:tcBorders>
          </w:tcPr>
          <w:p w14:paraId="0E61039D">
            <w:pPr>
              <w:spacing w:line="360" w:lineRule="auto"/>
              <w:rPr>
                <w:rFonts w:hint="eastAsia" w:asciiTheme="minorEastAsia" w:hAnsiTheme="minorEastAsia" w:cstheme="minorEastAsia"/>
                <w:color w:val="auto"/>
                <w:sz w:val="24"/>
                <w:highlight w:val="none"/>
              </w:rPr>
            </w:pPr>
          </w:p>
        </w:tc>
        <w:tc>
          <w:tcPr>
            <w:tcW w:w="526" w:type="pct"/>
            <w:vMerge w:val="continue"/>
            <w:tcBorders>
              <w:left w:val="nil"/>
              <w:right w:val="single" w:color="000000" w:sz="4" w:space="0"/>
            </w:tcBorders>
          </w:tcPr>
          <w:p w14:paraId="048B0ABE">
            <w:pPr>
              <w:spacing w:line="360" w:lineRule="auto"/>
              <w:rPr>
                <w:rFonts w:hint="eastAsia" w:asciiTheme="minorEastAsia" w:hAnsiTheme="minorEastAsia" w:cstheme="minorEastAsia"/>
                <w:color w:val="auto"/>
                <w:sz w:val="24"/>
                <w:highlight w:val="none"/>
              </w:rPr>
            </w:pPr>
          </w:p>
        </w:tc>
        <w:tc>
          <w:tcPr>
            <w:tcW w:w="609" w:type="pct"/>
            <w:vMerge w:val="continue"/>
            <w:tcBorders>
              <w:left w:val="nil"/>
              <w:right w:val="single" w:color="000000" w:sz="4" w:space="0"/>
            </w:tcBorders>
          </w:tcPr>
          <w:p w14:paraId="3BF70680">
            <w:pPr>
              <w:spacing w:line="360" w:lineRule="auto"/>
              <w:rPr>
                <w:rFonts w:hint="eastAsia" w:asciiTheme="minorEastAsia" w:hAnsiTheme="minorEastAsia" w:cstheme="minorEastAsia"/>
                <w:color w:val="auto"/>
                <w:sz w:val="24"/>
                <w:highlight w:val="none"/>
              </w:rPr>
            </w:pPr>
          </w:p>
        </w:tc>
      </w:tr>
      <w:tr w14:paraId="044EBF1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598" w:hRule="atLeast"/>
        </w:trPr>
        <w:tc>
          <w:tcPr>
            <w:tcW w:w="737" w:type="pct"/>
            <w:vMerge w:val="continue"/>
            <w:tcBorders>
              <w:left w:val="single" w:color="auto" w:sz="4" w:space="0"/>
              <w:right w:val="single" w:color="000000" w:sz="4" w:space="0"/>
            </w:tcBorders>
          </w:tcPr>
          <w:p w14:paraId="03C376AE">
            <w:pPr>
              <w:spacing w:line="360" w:lineRule="auto"/>
              <w:rPr>
                <w:rFonts w:hint="eastAsia" w:asciiTheme="minorEastAsia" w:hAnsiTheme="minorEastAsia" w:cstheme="minorEastAsia"/>
                <w:color w:val="auto"/>
                <w:sz w:val="24"/>
                <w:highlight w:val="none"/>
              </w:rPr>
            </w:pPr>
          </w:p>
        </w:tc>
        <w:tc>
          <w:tcPr>
            <w:tcW w:w="478" w:type="pct"/>
            <w:vMerge w:val="continue"/>
            <w:tcBorders>
              <w:top w:val="nil"/>
              <w:left w:val="single" w:color="auto" w:sz="4" w:space="0"/>
              <w:bottom w:val="single" w:color="000000" w:sz="4" w:space="0"/>
              <w:right w:val="single" w:color="000000" w:sz="4" w:space="0"/>
            </w:tcBorders>
          </w:tcPr>
          <w:p w14:paraId="3F9DD7D9">
            <w:pPr>
              <w:spacing w:line="360" w:lineRule="auto"/>
              <w:rPr>
                <w:rFonts w:hint="eastAsia" w:asciiTheme="minorEastAsia" w:hAnsiTheme="minorEastAsia" w:cstheme="minorEastAsia"/>
                <w:color w:val="auto"/>
                <w:sz w:val="24"/>
                <w:highlight w:val="none"/>
              </w:rPr>
            </w:pPr>
          </w:p>
        </w:tc>
        <w:tc>
          <w:tcPr>
            <w:tcW w:w="472" w:type="pct"/>
            <w:vMerge w:val="continue"/>
            <w:tcBorders>
              <w:top w:val="nil"/>
              <w:left w:val="nil"/>
              <w:bottom w:val="single" w:color="000000" w:sz="4" w:space="0"/>
              <w:right w:val="single" w:color="000000" w:sz="4" w:space="0"/>
            </w:tcBorders>
          </w:tcPr>
          <w:p w14:paraId="03423E4F">
            <w:pPr>
              <w:spacing w:line="360" w:lineRule="auto"/>
              <w:rPr>
                <w:rFonts w:hint="eastAsia" w:asciiTheme="minorEastAsia" w:hAnsiTheme="minorEastAsia" w:cstheme="minorEastAsia"/>
                <w:color w:val="auto"/>
                <w:sz w:val="24"/>
                <w:highlight w:val="none"/>
              </w:rPr>
            </w:pPr>
          </w:p>
        </w:tc>
        <w:tc>
          <w:tcPr>
            <w:tcW w:w="631" w:type="pct"/>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1B026214">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383968.6440</w:t>
            </w:r>
          </w:p>
        </w:tc>
        <w:tc>
          <w:tcPr>
            <w:tcW w:w="547" w:type="pct"/>
            <w:tcBorders>
              <w:top w:val="nil"/>
              <w:left w:val="nil"/>
              <w:bottom w:val="single" w:color="000000" w:sz="4" w:space="0"/>
              <w:right w:val="single" w:color="000000" w:sz="4" w:space="0"/>
            </w:tcBorders>
            <w:shd w:val="clear" w:color="auto" w:fill="auto"/>
            <w:tcMar>
              <w:top w:w="0" w:type="dxa"/>
              <w:left w:w="105" w:type="dxa"/>
              <w:bottom w:w="0" w:type="dxa"/>
              <w:right w:w="105" w:type="dxa"/>
            </w:tcMar>
            <w:vAlign w:val="center"/>
          </w:tcPr>
          <w:p w14:paraId="07575960">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65100.00</w:t>
            </w:r>
          </w:p>
        </w:tc>
        <w:tc>
          <w:tcPr>
            <w:tcW w:w="471" w:type="pct"/>
            <w:tcBorders>
              <w:top w:val="nil"/>
              <w:left w:val="nil"/>
              <w:bottom w:val="single" w:color="000000" w:sz="4" w:space="0"/>
              <w:right w:val="single" w:color="000000" w:sz="4" w:space="0"/>
            </w:tcBorders>
            <w:tcMar>
              <w:top w:w="0" w:type="dxa"/>
              <w:left w:w="105" w:type="dxa"/>
              <w:bottom w:w="0" w:type="dxa"/>
              <w:right w:w="105" w:type="dxa"/>
            </w:tcMar>
            <w:vAlign w:val="center"/>
          </w:tcPr>
          <w:p w14:paraId="61CB43D0">
            <w:pPr>
              <w:spacing w:line="360" w:lineRule="auto"/>
              <w:jc w:val="center"/>
              <w:textAlignment w:val="center"/>
              <w:rPr>
                <w:rFonts w:hint="eastAsia" w:asciiTheme="minorEastAsia" w:hAnsiTheme="minorEastAsia" w:eastAsiaTheme="minorEastAsia" w:cstheme="minorEastAsia"/>
                <w:color w:val="auto"/>
                <w:kern w:val="0"/>
                <w:sz w:val="24"/>
                <w:szCs w:val="24"/>
                <w:highlight w:val="none"/>
                <w:u w:val="none"/>
                <w:lang w:bidi="ar"/>
              </w:rPr>
            </w:pPr>
            <w:r>
              <w:rPr>
                <w:rFonts w:hint="eastAsia" w:asciiTheme="minorEastAsia" w:hAnsiTheme="minorEastAsia" w:eastAsiaTheme="minorEastAsia" w:cstheme="minorEastAsia"/>
                <w:color w:val="auto"/>
                <w:kern w:val="0"/>
                <w:sz w:val="24"/>
                <w:szCs w:val="24"/>
                <w:highlight w:val="none"/>
                <w:u w:val="none"/>
                <w:lang w:bidi="ar"/>
              </w:rPr>
              <w:t>三级养护</w:t>
            </w:r>
          </w:p>
        </w:tc>
        <w:tc>
          <w:tcPr>
            <w:tcW w:w="526" w:type="pct"/>
            <w:vMerge w:val="continue"/>
            <w:tcBorders>
              <w:top w:val="nil"/>
              <w:left w:val="nil"/>
              <w:bottom w:val="single" w:color="000000" w:sz="4" w:space="0"/>
              <w:right w:val="single" w:color="000000" w:sz="4" w:space="0"/>
            </w:tcBorders>
          </w:tcPr>
          <w:p w14:paraId="208EE99E">
            <w:pPr>
              <w:spacing w:line="360" w:lineRule="auto"/>
              <w:rPr>
                <w:rFonts w:hint="eastAsia" w:asciiTheme="minorEastAsia" w:hAnsiTheme="minorEastAsia" w:cstheme="minorEastAsia"/>
                <w:color w:val="auto"/>
                <w:sz w:val="24"/>
                <w:highlight w:val="none"/>
              </w:rPr>
            </w:pPr>
          </w:p>
        </w:tc>
        <w:tc>
          <w:tcPr>
            <w:tcW w:w="526" w:type="pct"/>
            <w:vMerge w:val="continue"/>
            <w:tcBorders>
              <w:left w:val="nil"/>
              <w:right w:val="single" w:color="000000" w:sz="4" w:space="0"/>
            </w:tcBorders>
          </w:tcPr>
          <w:p w14:paraId="6366B567">
            <w:pPr>
              <w:spacing w:line="360" w:lineRule="auto"/>
              <w:rPr>
                <w:rFonts w:hint="eastAsia" w:asciiTheme="minorEastAsia" w:hAnsiTheme="minorEastAsia" w:cstheme="minorEastAsia"/>
                <w:color w:val="auto"/>
                <w:sz w:val="24"/>
                <w:highlight w:val="none"/>
              </w:rPr>
            </w:pPr>
          </w:p>
        </w:tc>
        <w:tc>
          <w:tcPr>
            <w:tcW w:w="609" w:type="pct"/>
            <w:vMerge w:val="continue"/>
            <w:tcBorders>
              <w:left w:val="nil"/>
              <w:right w:val="single" w:color="000000" w:sz="4" w:space="0"/>
            </w:tcBorders>
          </w:tcPr>
          <w:p w14:paraId="6BCDCD59">
            <w:pPr>
              <w:spacing w:line="360" w:lineRule="auto"/>
              <w:rPr>
                <w:rFonts w:hint="eastAsia" w:asciiTheme="minorEastAsia" w:hAnsiTheme="minorEastAsia" w:cstheme="minorEastAsia"/>
                <w:color w:val="auto"/>
                <w:sz w:val="24"/>
                <w:highlight w:val="none"/>
              </w:rPr>
            </w:pPr>
          </w:p>
        </w:tc>
      </w:tr>
      <w:tr w14:paraId="16DC5A3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626" w:hRule="atLeast"/>
        </w:trPr>
        <w:tc>
          <w:tcPr>
            <w:tcW w:w="737" w:type="pct"/>
            <w:vMerge w:val="continue"/>
            <w:tcBorders>
              <w:left w:val="single" w:color="auto" w:sz="4" w:space="0"/>
              <w:bottom w:val="single" w:color="000000" w:sz="4" w:space="0"/>
              <w:right w:val="single" w:color="000000" w:sz="4" w:space="0"/>
            </w:tcBorders>
          </w:tcPr>
          <w:p w14:paraId="2EB52BFA">
            <w:pPr>
              <w:spacing w:line="360" w:lineRule="auto"/>
              <w:rPr>
                <w:rFonts w:hint="eastAsia" w:asciiTheme="minorEastAsia" w:hAnsiTheme="minorEastAsia" w:cstheme="minorEastAsia"/>
                <w:color w:val="auto"/>
                <w:sz w:val="24"/>
                <w:highlight w:val="none"/>
              </w:rPr>
            </w:pPr>
          </w:p>
        </w:tc>
        <w:tc>
          <w:tcPr>
            <w:tcW w:w="478" w:type="pct"/>
            <w:vMerge w:val="continue"/>
            <w:tcBorders>
              <w:top w:val="nil"/>
              <w:left w:val="single" w:color="auto" w:sz="4" w:space="0"/>
              <w:bottom w:val="single" w:color="000000" w:sz="4" w:space="0"/>
              <w:right w:val="single" w:color="000000" w:sz="4" w:space="0"/>
            </w:tcBorders>
          </w:tcPr>
          <w:p w14:paraId="641EA466">
            <w:pPr>
              <w:spacing w:line="360" w:lineRule="auto"/>
              <w:rPr>
                <w:rFonts w:hint="eastAsia" w:asciiTheme="minorEastAsia" w:hAnsiTheme="minorEastAsia" w:cstheme="minorEastAsia"/>
                <w:color w:val="auto"/>
                <w:sz w:val="24"/>
                <w:highlight w:val="none"/>
              </w:rPr>
            </w:pPr>
          </w:p>
        </w:tc>
        <w:tc>
          <w:tcPr>
            <w:tcW w:w="472" w:type="pct"/>
            <w:vMerge w:val="continue"/>
            <w:tcBorders>
              <w:top w:val="nil"/>
              <w:left w:val="nil"/>
              <w:bottom w:val="single" w:color="000000" w:sz="4" w:space="0"/>
              <w:right w:val="single" w:color="000000" w:sz="4" w:space="0"/>
            </w:tcBorders>
          </w:tcPr>
          <w:p w14:paraId="2D0F3208">
            <w:pPr>
              <w:spacing w:line="360" w:lineRule="auto"/>
              <w:rPr>
                <w:rFonts w:hint="eastAsia" w:asciiTheme="minorEastAsia" w:hAnsiTheme="minorEastAsia" w:cstheme="minorEastAsia"/>
                <w:color w:val="auto"/>
                <w:sz w:val="24"/>
                <w:highlight w:val="none"/>
              </w:rPr>
            </w:pPr>
          </w:p>
        </w:tc>
        <w:tc>
          <w:tcPr>
            <w:tcW w:w="631" w:type="pct"/>
            <w:tcBorders>
              <w:top w:val="nil"/>
              <w:left w:val="nil"/>
              <w:bottom w:val="single" w:color="000000" w:sz="4" w:space="0"/>
              <w:right w:val="single" w:color="000000" w:sz="4" w:space="0"/>
            </w:tcBorders>
            <w:tcMar>
              <w:top w:w="0" w:type="dxa"/>
              <w:left w:w="105" w:type="dxa"/>
              <w:bottom w:w="0" w:type="dxa"/>
              <w:right w:w="105" w:type="dxa"/>
            </w:tcMar>
            <w:vAlign w:val="center"/>
          </w:tcPr>
          <w:p w14:paraId="2619B1B3">
            <w:pPr>
              <w:spacing w:line="360" w:lineRule="auto"/>
              <w:jc w:val="center"/>
              <w:textAlignment w:val="center"/>
              <w:rPr>
                <w:rFonts w:hint="eastAsia" w:asciiTheme="minorEastAsia" w:hAnsiTheme="minorEastAsia" w:eastAsiaTheme="minorEastAsia" w:cstheme="minorEastAsia"/>
                <w:color w:val="auto"/>
                <w:kern w:val="0"/>
                <w:sz w:val="24"/>
                <w:szCs w:val="24"/>
                <w:highlight w:val="none"/>
                <w:u w:val="none"/>
                <w:lang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37474.30</w:t>
            </w:r>
            <w:r>
              <w:rPr>
                <w:rFonts w:hint="eastAsia" w:asciiTheme="minorEastAsia" w:hAnsiTheme="minorEastAsia" w:eastAsiaTheme="minorEastAsia" w:cstheme="minorEastAsia"/>
                <w:color w:val="auto"/>
                <w:kern w:val="0"/>
                <w:sz w:val="24"/>
                <w:szCs w:val="24"/>
                <w:highlight w:val="none"/>
                <w:u w:val="none"/>
                <w:lang w:bidi="ar"/>
              </w:rPr>
              <w:t xml:space="preserve">     </w:t>
            </w:r>
            <w:r>
              <w:rPr>
                <w:rFonts w:hint="eastAsia" w:asciiTheme="minorEastAsia" w:hAnsiTheme="minorEastAsia" w:eastAsiaTheme="minorEastAsia" w:cstheme="minorEastAsia"/>
                <w:color w:val="auto"/>
                <w:kern w:val="0"/>
                <w:sz w:val="21"/>
                <w:szCs w:val="21"/>
                <w:highlight w:val="none"/>
                <w:u w:val="none"/>
                <w:lang w:bidi="ar"/>
              </w:rPr>
              <w:t>（</w:t>
            </w:r>
            <w:r>
              <w:rPr>
                <w:rFonts w:hint="eastAsia" w:asciiTheme="minorEastAsia" w:hAnsiTheme="minorEastAsia" w:eastAsiaTheme="minorEastAsia" w:cstheme="minorEastAsia"/>
                <w:color w:val="auto"/>
                <w:kern w:val="0"/>
                <w:sz w:val="21"/>
                <w:szCs w:val="21"/>
                <w:highlight w:val="none"/>
                <w:u w:val="none"/>
                <w:lang w:val="en-US" w:eastAsia="zh-CN" w:bidi="ar"/>
              </w:rPr>
              <w:t>大沙</w:t>
            </w:r>
            <w:r>
              <w:rPr>
                <w:rFonts w:hint="eastAsia" w:asciiTheme="minorEastAsia" w:hAnsiTheme="minorEastAsia" w:eastAsiaTheme="minorEastAsia" w:cstheme="minorEastAsia"/>
                <w:color w:val="auto"/>
                <w:kern w:val="0"/>
                <w:sz w:val="21"/>
                <w:szCs w:val="21"/>
                <w:highlight w:val="none"/>
                <w:u w:val="none"/>
                <w:lang w:bidi="ar"/>
              </w:rPr>
              <w:t>防护林带）</w:t>
            </w:r>
          </w:p>
        </w:tc>
        <w:tc>
          <w:tcPr>
            <w:tcW w:w="547" w:type="pct"/>
            <w:tcBorders>
              <w:top w:val="nil"/>
              <w:left w:val="nil"/>
              <w:bottom w:val="single" w:color="000000" w:sz="4" w:space="0"/>
              <w:right w:val="single" w:color="000000" w:sz="4" w:space="0"/>
            </w:tcBorders>
            <w:tcMar>
              <w:top w:w="0" w:type="dxa"/>
              <w:left w:w="105" w:type="dxa"/>
              <w:bottom w:w="0" w:type="dxa"/>
              <w:right w:w="105" w:type="dxa"/>
            </w:tcMar>
            <w:vAlign w:val="center"/>
          </w:tcPr>
          <w:p w14:paraId="040BF901">
            <w:pPr>
              <w:spacing w:line="360" w:lineRule="auto"/>
              <w:jc w:val="center"/>
              <w:textAlignment w:val="center"/>
              <w:rPr>
                <w:rFonts w:hint="eastAsia" w:asciiTheme="minorEastAsia" w:hAnsiTheme="minorEastAsia" w:eastAsiaTheme="minorEastAsia" w:cstheme="minorEastAsia"/>
                <w:color w:val="auto"/>
                <w:kern w:val="0"/>
                <w:sz w:val="24"/>
                <w:szCs w:val="24"/>
                <w:highlight w:val="none"/>
                <w:u w:val="none"/>
                <w:lang w:val="en-US" w:eastAsia="zh-CN" w:bidi="ar"/>
              </w:rPr>
            </w:pPr>
            <w:r>
              <w:rPr>
                <w:rFonts w:hint="eastAsia" w:asciiTheme="minorEastAsia" w:hAnsiTheme="minorEastAsia" w:eastAsiaTheme="minorEastAsia" w:cstheme="minorEastAsia"/>
                <w:color w:val="auto"/>
                <w:kern w:val="0"/>
                <w:sz w:val="24"/>
                <w:szCs w:val="24"/>
                <w:highlight w:val="none"/>
                <w:u w:val="none"/>
                <w:lang w:val="en-US" w:eastAsia="zh-CN" w:bidi="ar"/>
              </w:rPr>
              <w:t>0.00</w:t>
            </w:r>
          </w:p>
        </w:tc>
        <w:tc>
          <w:tcPr>
            <w:tcW w:w="471" w:type="pct"/>
            <w:tcBorders>
              <w:top w:val="nil"/>
              <w:left w:val="nil"/>
              <w:bottom w:val="single" w:color="000000" w:sz="4" w:space="0"/>
              <w:right w:val="single" w:color="000000" w:sz="4" w:space="0"/>
            </w:tcBorders>
            <w:tcMar>
              <w:top w:w="0" w:type="dxa"/>
              <w:left w:w="105" w:type="dxa"/>
              <w:bottom w:w="0" w:type="dxa"/>
              <w:right w:w="105" w:type="dxa"/>
            </w:tcMar>
            <w:vAlign w:val="center"/>
          </w:tcPr>
          <w:p w14:paraId="654E2882">
            <w:pPr>
              <w:spacing w:line="360" w:lineRule="auto"/>
              <w:jc w:val="center"/>
              <w:textAlignment w:val="center"/>
              <w:rPr>
                <w:rFonts w:hint="eastAsia" w:asciiTheme="minorEastAsia" w:hAnsiTheme="minorEastAsia" w:eastAsiaTheme="minorEastAsia" w:cstheme="minorEastAsia"/>
                <w:color w:val="auto"/>
                <w:kern w:val="0"/>
                <w:sz w:val="24"/>
                <w:szCs w:val="24"/>
                <w:highlight w:val="none"/>
                <w:u w:val="none"/>
                <w:lang w:bidi="ar"/>
              </w:rPr>
            </w:pPr>
            <w:r>
              <w:rPr>
                <w:rFonts w:hint="eastAsia" w:asciiTheme="minorEastAsia" w:hAnsiTheme="minorEastAsia" w:eastAsiaTheme="minorEastAsia" w:cstheme="minorEastAsia"/>
                <w:color w:val="auto"/>
                <w:kern w:val="0"/>
                <w:sz w:val="24"/>
                <w:szCs w:val="24"/>
                <w:highlight w:val="none"/>
                <w:u w:val="none"/>
                <w:lang w:bidi="ar"/>
              </w:rPr>
              <w:t>/</w:t>
            </w:r>
          </w:p>
        </w:tc>
        <w:tc>
          <w:tcPr>
            <w:tcW w:w="526" w:type="pct"/>
            <w:vMerge w:val="continue"/>
            <w:tcBorders>
              <w:top w:val="nil"/>
              <w:left w:val="nil"/>
              <w:bottom w:val="single" w:color="000000" w:sz="4" w:space="0"/>
              <w:right w:val="single" w:color="000000" w:sz="4" w:space="0"/>
            </w:tcBorders>
          </w:tcPr>
          <w:p w14:paraId="6C3833B2">
            <w:pPr>
              <w:spacing w:line="360" w:lineRule="auto"/>
              <w:rPr>
                <w:rFonts w:hint="eastAsia" w:asciiTheme="minorEastAsia" w:hAnsiTheme="minorEastAsia" w:cstheme="minorEastAsia"/>
                <w:color w:val="auto"/>
                <w:sz w:val="24"/>
                <w:highlight w:val="none"/>
              </w:rPr>
            </w:pPr>
          </w:p>
        </w:tc>
        <w:tc>
          <w:tcPr>
            <w:tcW w:w="526" w:type="pct"/>
            <w:vMerge w:val="continue"/>
            <w:tcBorders>
              <w:left w:val="nil"/>
              <w:bottom w:val="single" w:color="000000" w:sz="4" w:space="0"/>
              <w:right w:val="single" w:color="000000" w:sz="4" w:space="0"/>
            </w:tcBorders>
          </w:tcPr>
          <w:p w14:paraId="33E4A4D8">
            <w:pPr>
              <w:spacing w:line="360" w:lineRule="auto"/>
              <w:rPr>
                <w:rFonts w:hint="eastAsia" w:asciiTheme="minorEastAsia" w:hAnsiTheme="minorEastAsia" w:cstheme="minorEastAsia"/>
                <w:color w:val="auto"/>
                <w:sz w:val="24"/>
                <w:highlight w:val="none"/>
              </w:rPr>
            </w:pPr>
          </w:p>
        </w:tc>
        <w:tc>
          <w:tcPr>
            <w:tcW w:w="609" w:type="pct"/>
            <w:vMerge w:val="continue"/>
            <w:tcBorders>
              <w:left w:val="nil"/>
              <w:bottom w:val="single" w:color="000000" w:sz="4" w:space="0"/>
              <w:right w:val="single" w:color="000000" w:sz="4" w:space="0"/>
            </w:tcBorders>
          </w:tcPr>
          <w:p w14:paraId="260D1DC1">
            <w:pPr>
              <w:spacing w:line="360" w:lineRule="auto"/>
              <w:rPr>
                <w:rFonts w:hint="eastAsia" w:asciiTheme="minorEastAsia" w:hAnsiTheme="minorEastAsia" w:cstheme="minorEastAsia"/>
                <w:color w:val="auto"/>
                <w:sz w:val="24"/>
                <w:highlight w:val="none"/>
              </w:rPr>
            </w:pPr>
          </w:p>
        </w:tc>
      </w:tr>
    </w:tbl>
    <w:p w14:paraId="6AF5F90C">
      <w:pPr>
        <w:pStyle w:val="12"/>
        <w:tabs>
          <w:tab w:val="left" w:pos="1117"/>
        </w:tabs>
        <w:spacing w:line="360" w:lineRule="auto"/>
        <w:ind w:firstLine="0"/>
        <w:rPr>
          <w:rFonts w:hint="eastAsia" w:asciiTheme="minorEastAsia" w:hAnsiTheme="minorEastAsia" w:cstheme="minorEastAsia"/>
          <w:color w:val="auto"/>
          <w:sz w:val="24"/>
          <w:szCs w:val="24"/>
          <w:highlight w:val="none"/>
          <w:lang w:val="en-US" w:eastAsia="zh-CN"/>
        </w:rPr>
        <w:sectPr>
          <w:pgSz w:w="16838" w:h="11906" w:orient="landscape"/>
          <w:pgMar w:top="1800" w:right="1440" w:bottom="1800" w:left="1440" w:header="851" w:footer="992" w:gutter="0"/>
          <w:pgNumType w:fmt="decimal"/>
          <w:cols w:space="425" w:num="1"/>
          <w:docGrid w:type="lines" w:linePitch="312" w:charSpace="0"/>
        </w:sectPr>
      </w:pPr>
    </w:p>
    <w:p w14:paraId="167C1AB4">
      <w:pPr>
        <w:pStyle w:val="12"/>
        <w:spacing w:line="360" w:lineRule="auto"/>
        <w:ind w:firstLine="0"/>
        <w:rPr>
          <w:rFonts w:asciiTheme="minorEastAsia" w:hAnsiTheme="minorEastAsia" w:cstheme="minorEastAsia"/>
          <w:color w:val="auto"/>
          <w:sz w:val="24"/>
          <w:szCs w:val="24"/>
          <w:highlight w:val="none"/>
          <w:lang w:eastAsia="zh-CN"/>
        </w:rPr>
      </w:pPr>
    </w:p>
    <w:p w14:paraId="0B4B23B7">
      <w:pPr>
        <w:pStyle w:val="12"/>
        <w:spacing w:line="240" w:lineRule="auto"/>
        <w:ind w:firstLine="0" w:firstLineChars="0"/>
        <w:rPr>
          <w:rFonts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说明：</w:t>
      </w:r>
    </w:p>
    <w:p w14:paraId="76E7ADD5">
      <w:pPr>
        <w:pStyle w:val="12"/>
        <w:spacing w:line="360" w:lineRule="auto"/>
        <w:ind w:firstLine="480" w:firstLineChars="200"/>
        <w:rPr>
          <w:rFonts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（1）以上养护量为招标的大致工作量，区域的边界、范围、养护标准以现场实际划分为准。各区域内的市政绿化指市政道路附属绿化，不含古树名木（经挂牌确认）、公园等其他绿化。</w:t>
      </w:r>
    </w:p>
    <w:p w14:paraId="1EE26642">
      <w:pPr>
        <w:pStyle w:val="12"/>
        <w:spacing w:line="360" w:lineRule="auto"/>
        <w:ind w:firstLine="480"/>
        <w:rPr>
          <w:rFonts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（2）行道树：包括人行道</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lang w:val="en-US" w:eastAsia="zh-CN"/>
        </w:rPr>
        <w:t>非机动车道</w:t>
      </w:r>
      <w:r>
        <w:rPr>
          <w:rFonts w:asciiTheme="minorEastAsia" w:hAnsiTheme="minorEastAsia" w:cstheme="minorEastAsia"/>
          <w:color w:val="auto"/>
          <w:sz w:val="24"/>
          <w:szCs w:val="24"/>
          <w:highlight w:val="none"/>
        </w:rPr>
        <w:t>两侧行植乔木。行道树单价为行道树的养护单价，</w:t>
      </w:r>
      <w:r>
        <w:rPr>
          <w:rFonts w:hint="eastAsia" w:asciiTheme="minorEastAsia" w:hAnsiTheme="minorEastAsia" w:cstheme="minorEastAsia"/>
          <w:color w:val="auto"/>
          <w:sz w:val="24"/>
          <w:szCs w:val="24"/>
          <w:highlight w:val="none"/>
          <w:lang w:val="en-US" w:eastAsia="zh-CN"/>
        </w:rPr>
        <w:t>含</w:t>
      </w:r>
      <w:r>
        <w:rPr>
          <w:rFonts w:asciiTheme="minorEastAsia" w:hAnsiTheme="minorEastAsia" w:cstheme="minorEastAsia"/>
          <w:color w:val="auto"/>
          <w:sz w:val="24"/>
          <w:szCs w:val="24"/>
          <w:highlight w:val="none"/>
        </w:rPr>
        <w:t>自然灾害或交通事故导致的应急抢险费用（经采购人研判后处理困难或技术复杂的除外）。</w:t>
      </w:r>
    </w:p>
    <w:p w14:paraId="0E29E9A7">
      <w:pPr>
        <w:pStyle w:val="12"/>
        <w:spacing w:line="360" w:lineRule="auto"/>
        <w:ind w:firstLine="480"/>
        <w:rPr>
          <w:rFonts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（3）市政公共绿地：招标范围内除行道树以外的绿地。市政公共绿地单价指该绿地面积上所植的乔木、灌木、地被、草皮等，以及附属设施等的养护单价，</w:t>
      </w:r>
      <w:r>
        <w:rPr>
          <w:rFonts w:hint="eastAsia" w:asciiTheme="minorEastAsia" w:hAnsiTheme="minorEastAsia" w:cstheme="minorEastAsia"/>
          <w:color w:val="auto"/>
          <w:sz w:val="24"/>
          <w:szCs w:val="24"/>
          <w:highlight w:val="none"/>
          <w:lang w:val="en-US" w:eastAsia="zh-CN"/>
        </w:rPr>
        <w:t>含</w:t>
      </w:r>
      <w:r>
        <w:rPr>
          <w:rFonts w:asciiTheme="minorEastAsia" w:hAnsiTheme="minorEastAsia" w:cstheme="minorEastAsia"/>
          <w:color w:val="auto"/>
          <w:sz w:val="24"/>
          <w:szCs w:val="24"/>
          <w:highlight w:val="none"/>
        </w:rPr>
        <w:t>自然灾害或交通事故导致的应急抢险费用（经采购人研判后处理困难或技术复杂的除外）。</w:t>
      </w:r>
    </w:p>
    <w:p w14:paraId="00E2A543">
      <w:pPr>
        <w:pStyle w:val="12"/>
        <w:spacing w:line="360" w:lineRule="auto"/>
        <w:ind w:firstLine="480"/>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lang w:val="en-US" w:eastAsia="zh-CN"/>
        </w:rPr>
        <w:t>4）垂直绿化：边坡、立面的专项景观绿化，开展日常养护工作。养护期内确需重度修剪时，应提前制定修剪计划并经采购人同意后方可实施；做好钢架结构、种植盆、喷淋设施等安全巡查工作并及时上报，含</w:t>
      </w:r>
      <w:r>
        <w:rPr>
          <w:rFonts w:asciiTheme="minorEastAsia" w:hAnsiTheme="minorEastAsia" w:cstheme="minorEastAsia"/>
          <w:color w:val="auto"/>
          <w:sz w:val="24"/>
          <w:szCs w:val="24"/>
          <w:highlight w:val="none"/>
        </w:rPr>
        <w:t>自然灾害或交通事故导致的应急抢险费用（经采购人研判后处理困难或技术复杂的除外）。</w:t>
      </w:r>
    </w:p>
    <w:p w14:paraId="11C0143C">
      <w:pPr>
        <w:pStyle w:val="12"/>
        <w:spacing w:line="360" w:lineRule="auto"/>
        <w:ind w:firstLine="480"/>
        <w:rPr>
          <w:rFonts w:asciiTheme="minorEastAsia" w:hAnsi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lang w:val="en-US" w:eastAsia="zh-CN"/>
        </w:rPr>
        <w:t>（5）大沙防护林带：做好防护林带日常巡查并形成巡查台账，及时报送防护林带内的违法占用，开挖，建</w:t>
      </w:r>
      <w:bookmarkStart w:id="0" w:name="_GoBack"/>
      <w:bookmarkEnd w:id="0"/>
      <w:r>
        <w:rPr>
          <w:rFonts w:hint="eastAsia" w:asciiTheme="minorEastAsia" w:hAnsiTheme="minorEastAsia" w:cstheme="minorEastAsia"/>
          <w:color w:val="auto"/>
          <w:sz w:val="24"/>
          <w:szCs w:val="24"/>
          <w:highlight w:val="none"/>
          <w:lang w:val="en-US" w:eastAsia="zh-CN"/>
        </w:rPr>
        <w:t>筑垃圾偷倒等情况，含</w:t>
      </w:r>
      <w:r>
        <w:rPr>
          <w:rFonts w:asciiTheme="minorEastAsia" w:hAnsiTheme="minorEastAsia" w:cstheme="minorEastAsia"/>
          <w:color w:val="auto"/>
          <w:sz w:val="24"/>
          <w:szCs w:val="24"/>
          <w:highlight w:val="none"/>
        </w:rPr>
        <w:t>自然灾害或交通事故导致的应急抢险费用（经采购人研判后处理困难或技术复杂的除外）。</w:t>
      </w:r>
    </w:p>
    <w:p w14:paraId="51216C94">
      <w:pPr>
        <w:pStyle w:val="12"/>
        <w:spacing w:line="360" w:lineRule="auto"/>
        <w:ind w:firstLine="480"/>
        <w:rPr>
          <w:rFonts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eastAsia="zh-CN"/>
        </w:rPr>
        <w:t>6</w:t>
      </w:r>
      <w:r>
        <w:rPr>
          <w:rFonts w:asciiTheme="minorEastAsia" w:hAnsiTheme="minorEastAsia" w:cstheme="minorEastAsia"/>
          <w:color w:val="auto"/>
          <w:sz w:val="24"/>
          <w:szCs w:val="24"/>
          <w:highlight w:val="none"/>
        </w:rPr>
        <w:t>）采购人可根据项目管理实际需要，要求中标供应商按采购人绿化相关工作要求补种绿化苗木，中标供应商须积极配合，按要求完成工作任务的，采购人视补种情况对中标供应商给予加分奖励。</w:t>
      </w:r>
    </w:p>
    <w:p w14:paraId="48529EBD">
      <w:pPr>
        <w:pStyle w:val="12"/>
        <w:spacing w:after="120" w:line="360" w:lineRule="auto"/>
        <w:ind w:firstLine="480"/>
        <w:rPr>
          <w:rFonts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eastAsia="zh-CN"/>
        </w:rPr>
        <w:t>7</w:t>
      </w:r>
      <w:r>
        <w:rPr>
          <w:rFonts w:asciiTheme="minorEastAsia" w:hAnsiTheme="minorEastAsia" w:cstheme="minorEastAsia"/>
          <w:color w:val="auto"/>
          <w:sz w:val="24"/>
          <w:szCs w:val="24"/>
          <w:highlight w:val="none"/>
        </w:rPr>
        <w:t>）服务期间，因养护不到位、病虫害处理不及时导致苗木（含各类树木、灌木、草皮、多年生花卉等）死亡或受损严重且不符合采购人要求的，中标供应商原则上按原苗木进行补种，补种要求应与现行政策规定或上级部门绿化工作要求相符。</w:t>
      </w:r>
    </w:p>
    <w:p w14:paraId="36C760E6">
      <w:pPr>
        <w:pStyle w:val="12"/>
        <w:spacing w:line="360" w:lineRule="auto"/>
        <w:ind w:firstLine="240"/>
        <w:jc w:val="left"/>
        <w:rPr>
          <w:rFonts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 xml:space="preserve">  （</w:t>
      </w:r>
      <w:r>
        <w:rPr>
          <w:rFonts w:hint="eastAsia" w:asciiTheme="minorEastAsia" w:hAnsiTheme="minorEastAsia" w:cstheme="minorEastAsia"/>
          <w:color w:val="auto"/>
          <w:sz w:val="24"/>
          <w:szCs w:val="24"/>
          <w:highlight w:val="none"/>
          <w:lang w:eastAsia="zh-CN"/>
        </w:rPr>
        <w:t>8</w:t>
      </w:r>
      <w:r>
        <w:rPr>
          <w:rFonts w:asciiTheme="minorEastAsia" w:hAnsiTheme="minorEastAsia" w:cstheme="minorEastAsia"/>
          <w:color w:val="auto"/>
          <w:sz w:val="24"/>
          <w:szCs w:val="24"/>
          <w:highlight w:val="none"/>
        </w:rPr>
        <w:t>）服务期内，因区域管理范围调整（包括管理权限变更、道路绿化升级改造、地铁施工、企业用地开工建设</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lang w:val="en-US" w:eastAsia="zh-CN"/>
        </w:rPr>
        <w:t>运营需要</w:t>
      </w:r>
      <w:r>
        <w:rPr>
          <w:rFonts w:asciiTheme="minorEastAsia" w:hAnsiTheme="minorEastAsia" w:cstheme="minorEastAsia"/>
          <w:color w:val="auto"/>
          <w:sz w:val="24"/>
          <w:szCs w:val="24"/>
          <w:highlight w:val="none"/>
        </w:rPr>
        <w:t>等）、政策变化等原因出现养护数量、养护期限发生改变或需终止合同的，采购人无需承担任何责任。养护服务费按照实际养护面积与中标养护单价进行结算，中标供应商需配合做好相关的移交工作。</w:t>
      </w:r>
    </w:p>
    <w:p w14:paraId="1C550AE1">
      <w:pPr>
        <w:pStyle w:val="12"/>
        <w:spacing w:line="360" w:lineRule="auto"/>
        <w:ind w:firstLine="480"/>
        <w:jc w:val="left"/>
        <w:rPr>
          <w:rFonts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eastAsia="zh-CN"/>
        </w:rPr>
        <w:t>9</w:t>
      </w:r>
      <w:r>
        <w:rPr>
          <w:rFonts w:asciiTheme="minorEastAsia" w:hAnsiTheme="minorEastAsia" w:cstheme="minorEastAsia"/>
          <w:color w:val="auto"/>
          <w:sz w:val="24"/>
          <w:szCs w:val="24"/>
          <w:highlight w:val="none"/>
        </w:rPr>
        <w:t>）在养护服务期内，采购人有权调整养护范围，根据项目实际情况在不超合同金额的前提下，采购人有权调整养护标准。</w:t>
      </w:r>
    </w:p>
    <w:p w14:paraId="6026551B">
      <w:pPr>
        <w:pStyle w:val="12"/>
        <w:spacing w:line="360" w:lineRule="auto"/>
        <w:ind w:firstLine="480"/>
        <w:jc w:val="left"/>
        <w:rPr>
          <w:rFonts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eastAsia="zh-CN"/>
        </w:rPr>
        <w:t>1</w:t>
      </w:r>
      <w:r>
        <w:rPr>
          <w:rFonts w:hint="eastAsia" w:asciiTheme="minorEastAsia" w:hAnsiTheme="minorEastAsia" w:cstheme="minorEastAsia"/>
          <w:color w:val="auto"/>
          <w:sz w:val="24"/>
          <w:szCs w:val="24"/>
          <w:highlight w:val="none"/>
          <w:lang w:val="en-US" w:eastAsia="zh-CN"/>
        </w:rPr>
        <w:t>0</w:t>
      </w:r>
      <w:r>
        <w:rPr>
          <w:rFonts w:asciiTheme="minorEastAsia" w:hAnsiTheme="minorEastAsia" w:cstheme="minorEastAsia"/>
          <w:color w:val="auto"/>
          <w:sz w:val="24"/>
          <w:szCs w:val="24"/>
          <w:highlight w:val="none"/>
        </w:rPr>
        <w:t>）养护服务期内发生的一切水费、电费等费用由中标供应商自行承担。如有采购人提供水源接驳口的，养护服务期满后中标供应商需归还采购人提供的水源接驳口，或在采购人监督下移交采购人指定的养护单位。</w:t>
      </w:r>
    </w:p>
    <w:p w14:paraId="5FCDDF4F">
      <w:pPr>
        <w:pStyle w:val="12"/>
        <w:spacing w:line="360" w:lineRule="auto"/>
        <w:ind w:firstLine="480"/>
        <w:jc w:val="left"/>
        <w:rPr>
          <w:rFonts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eastAsia="zh-CN"/>
        </w:rPr>
        <w:t>1</w:t>
      </w:r>
      <w:r>
        <w:rPr>
          <w:rFonts w:hint="eastAsia" w:asciiTheme="minorEastAsia" w:hAnsiTheme="minorEastAsia" w:cstheme="minorEastAsia"/>
          <w:color w:val="auto"/>
          <w:sz w:val="24"/>
          <w:szCs w:val="24"/>
          <w:highlight w:val="none"/>
          <w:lang w:val="en-US" w:eastAsia="zh-CN"/>
        </w:rPr>
        <w:t>1</w:t>
      </w:r>
      <w:r>
        <w:rPr>
          <w:rFonts w:asciiTheme="minorEastAsia" w:hAnsiTheme="minorEastAsia" w:cstheme="minorEastAsia"/>
          <w:color w:val="auto"/>
          <w:sz w:val="24"/>
          <w:szCs w:val="24"/>
          <w:highlight w:val="none"/>
        </w:rPr>
        <w:t>）中标供应商需做好每月的养护日志及下个月的养护计划，原则上次月10号之前提交采购人。</w:t>
      </w:r>
    </w:p>
    <w:p w14:paraId="200F31BC">
      <w:pPr>
        <w:pStyle w:val="12"/>
        <w:spacing w:line="360" w:lineRule="auto"/>
        <w:ind w:firstLine="480"/>
        <w:jc w:val="left"/>
        <w:rPr>
          <w:rFonts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w:t>
      </w:r>
      <w:r>
        <w:rPr>
          <w:rFonts w:hint="eastAsia"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）该绿化养护项目不组织统一踏勘，投标人自行踏勘。</w:t>
      </w:r>
    </w:p>
    <w:p w14:paraId="101D13CF">
      <w:pPr>
        <w:pStyle w:val="12"/>
        <w:spacing w:line="360" w:lineRule="auto"/>
        <w:ind w:firstLine="480"/>
        <w:rPr>
          <w:rFonts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w:t>
      </w:r>
      <w:r>
        <w:rPr>
          <w:rFonts w:hint="eastAsia" w:asciiTheme="minorEastAsia" w:hAnsiTheme="minorEastAsia" w:cstheme="minorEastAsia"/>
          <w:color w:val="auto"/>
          <w:sz w:val="24"/>
          <w:szCs w:val="24"/>
          <w:highlight w:val="none"/>
          <w:lang w:eastAsia="zh-CN"/>
        </w:rPr>
        <w:t>3</w:t>
      </w:r>
      <w:r>
        <w:rPr>
          <w:rFonts w:asciiTheme="minorEastAsia" w:hAnsiTheme="minorEastAsia" w:cstheme="minorEastAsia"/>
          <w:color w:val="auto"/>
          <w:sz w:val="24"/>
          <w:szCs w:val="24"/>
          <w:highlight w:val="none"/>
        </w:rPr>
        <w:t>）中标供应商应按采购人的要求建立养护台账，并在合同终止或提前解除时移交采购人。</w:t>
      </w:r>
    </w:p>
    <w:p w14:paraId="49604076">
      <w:pPr>
        <w:pStyle w:val="12"/>
        <w:spacing w:line="360" w:lineRule="auto"/>
        <w:ind w:firstLine="482"/>
        <w:jc w:val="left"/>
        <w:rPr>
          <w:rFonts w:asciiTheme="minorEastAsia" w:hAnsiTheme="minorEastAsia" w:cstheme="minorEastAsia"/>
          <w:color w:val="auto"/>
          <w:sz w:val="24"/>
          <w:szCs w:val="24"/>
          <w:highlight w:val="none"/>
          <w:lang w:eastAsia="zh-CN"/>
        </w:rPr>
      </w:pPr>
      <w:r>
        <w:rPr>
          <w:rFonts w:hint="eastAsia" w:asciiTheme="minorEastAsia" w:hAnsiTheme="minorEastAsia" w:cstheme="minorEastAsia"/>
          <w:b/>
          <w:color w:val="auto"/>
          <w:sz w:val="24"/>
          <w:szCs w:val="24"/>
          <w:highlight w:val="none"/>
          <w:lang w:val="en-US" w:eastAsia="zh-CN"/>
        </w:rPr>
        <w:t>四</w:t>
      </w:r>
      <w:r>
        <w:rPr>
          <w:rFonts w:asciiTheme="minorEastAsia" w:hAnsiTheme="minorEastAsia" w:cstheme="minorEastAsia"/>
          <w:b/>
          <w:color w:val="auto"/>
          <w:sz w:val="24"/>
          <w:szCs w:val="24"/>
          <w:highlight w:val="none"/>
        </w:rPr>
        <w:t>、养护</w:t>
      </w:r>
      <w:r>
        <w:rPr>
          <w:rFonts w:hint="eastAsia" w:asciiTheme="minorEastAsia" w:hAnsiTheme="minorEastAsia" w:cstheme="minorEastAsia"/>
          <w:b/>
          <w:color w:val="auto"/>
          <w:sz w:val="24"/>
          <w:szCs w:val="24"/>
          <w:highlight w:val="none"/>
          <w:lang w:eastAsia="zh-CN"/>
        </w:rPr>
        <w:t>质量</w:t>
      </w:r>
      <w:r>
        <w:rPr>
          <w:rFonts w:hint="eastAsia" w:asciiTheme="minorEastAsia" w:hAnsiTheme="minorEastAsia" w:cstheme="minorEastAsia"/>
          <w:b/>
          <w:color w:val="auto"/>
          <w:sz w:val="24"/>
          <w:szCs w:val="24"/>
          <w:highlight w:val="none"/>
          <w:lang w:val="en-US" w:eastAsia="zh-CN"/>
        </w:rPr>
        <w:t>要求及检评细则</w:t>
      </w:r>
    </w:p>
    <w:p w14:paraId="4B0F795C">
      <w:pPr>
        <w:pStyle w:val="12"/>
        <w:spacing w:line="360" w:lineRule="auto"/>
        <w:ind w:firstLine="480"/>
        <w:jc w:val="left"/>
        <w:rPr>
          <w:rFonts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（一）养护要求</w:t>
      </w:r>
    </w:p>
    <w:p w14:paraId="562A644C">
      <w:pPr>
        <w:pStyle w:val="12"/>
        <w:spacing w:line="360" w:lineRule="auto"/>
        <w:ind w:firstLine="480"/>
        <w:rPr>
          <w:rFonts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1、养护</w:t>
      </w:r>
      <w:r>
        <w:rPr>
          <w:rFonts w:hint="eastAsia" w:asciiTheme="minorEastAsia" w:hAnsiTheme="minorEastAsia" w:cstheme="minorEastAsia"/>
          <w:color w:val="auto"/>
          <w:sz w:val="24"/>
          <w:szCs w:val="24"/>
          <w:highlight w:val="none"/>
          <w:lang w:val="en-US" w:eastAsia="zh-CN"/>
        </w:rPr>
        <w:t>质量</w:t>
      </w:r>
      <w:r>
        <w:rPr>
          <w:rFonts w:asciiTheme="minorEastAsia" w:hAnsiTheme="minorEastAsia" w:cstheme="minorEastAsia"/>
          <w:color w:val="auto"/>
          <w:sz w:val="24"/>
          <w:szCs w:val="24"/>
          <w:highlight w:val="none"/>
        </w:rPr>
        <w:t>参考《广州市绿化条例》、《广州市地方标准 园林绿地养护管理技术规范》（DB4401/T 6-2018)、《广州开发区绿化和公园管理中心（广州市黄埔区绿化和公园管理中心）市政公共绿化养护管理办法》（修订）等</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val="en-US" w:eastAsia="zh-CN"/>
        </w:rPr>
        <w:t>以</w:t>
      </w:r>
      <w:r>
        <w:rPr>
          <w:rFonts w:asciiTheme="minorEastAsia" w:hAnsiTheme="minorEastAsia" w:cstheme="minorEastAsia"/>
          <w:color w:val="auto"/>
          <w:sz w:val="24"/>
          <w:szCs w:val="24"/>
          <w:highlight w:val="none"/>
        </w:rPr>
        <w:t>采购</w:t>
      </w:r>
      <w:r>
        <w:rPr>
          <w:rFonts w:hint="eastAsia" w:asciiTheme="minorEastAsia" w:hAnsiTheme="minorEastAsia" w:cstheme="minorEastAsia"/>
          <w:color w:val="auto"/>
          <w:sz w:val="24"/>
          <w:szCs w:val="24"/>
          <w:highlight w:val="none"/>
          <w:lang w:val="en-US" w:eastAsia="zh-CN"/>
        </w:rPr>
        <w:t>人</w:t>
      </w:r>
      <w:r>
        <w:rPr>
          <w:rFonts w:hint="eastAsia" w:asciiTheme="minorEastAsia" w:hAnsiTheme="minorEastAsia" w:cstheme="minorEastAsia"/>
          <w:color w:val="auto"/>
          <w:sz w:val="24"/>
          <w:szCs w:val="24"/>
          <w:highlight w:val="none"/>
          <w:lang w:val="en-US" w:eastAsia="zh-CN"/>
        </w:rPr>
        <w:t>实际需求</w:t>
      </w:r>
      <w:r>
        <w:rPr>
          <w:rFonts w:hint="eastAsia" w:asciiTheme="minorEastAsia" w:hAnsiTheme="minorEastAsia" w:eastAsiaTheme="minorEastAsia" w:cstheme="minorEastAsia"/>
          <w:color w:val="auto"/>
          <w:sz w:val="24"/>
          <w:szCs w:val="24"/>
          <w:highlight w:val="none"/>
        </w:rPr>
        <w:t>执行。</w:t>
      </w:r>
      <w:r>
        <w:rPr>
          <w:rFonts w:asciiTheme="minorEastAsia" w:hAnsiTheme="minorEastAsia" w:cstheme="minorEastAsia"/>
          <w:color w:val="auto"/>
          <w:sz w:val="24"/>
          <w:szCs w:val="24"/>
          <w:highlight w:val="none"/>
        </w:rPr>
        <w:t>服务期内，以上文件若有更新，按更新后的文件要求执行。</w:t>
      </w:r>
    </w:p>
    <w:p w14:paraId="1340666D">
      <w:pPr>
        <w:pStyle w:val="12"/>
        <w:spacing w:line="360" w:lineRule="auto"/>
        <w:ind w:firstLine="480"/>
        <w:rPr>
          <w:rFonts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2、中标供应商进场后对养护范围内的所有行道树建立电子台账，内容包括：品种、数量、胸径（区间范围）、位置。</w:t>
      </w:r>
    </w:p>
    <w:p w14:paraId="181784C1">
      <w:pPr>
        <w:pStyle w:val="12"/>
        <w:spacing w:line="360" w:lineRule="auto"/>
        <w:ind w:firstLine="480"/>
        <w:rPr>
          <w:rFonts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（二）中标供应商</w:t>
      </w:r>
      <w:r>
        <w:rPr>
          <w:rFonts w:hint="eastAsia" w:asciiTheme="minorEastAsia" w:hAnsiTheme="minorEastAsia" w:cstheme="minorEastAsia"/>
          <w:color w:val="auto"/>
          <w:sz w:val="24"/>
          <w:szCs w:val="24"/>
          <w:highlight w:val="none"/>
          <w:lang w:val="en-US" w:eastAsia="zh-CN"/>
        </w:rPr>
        <w:t>应</w:t>
      </w:r>
      <w:r>
        <w:rPr>
          <w:rFonts w:asciiTheme="minorEastAsia" w:hAnsiTheme="minorEastAsia" w:cstheme="minorEastAsia"/>
          <w:color w:val="auto"/>
          <w:sz w:val="24"/>
          <w:szCs w:val="24"/>
          <w:highlight w:val="none"/>
        </w:rPr>
        <w:t>针对所养护的片区制定整体养护计划或养护方案。</w:t>
      </w:r>
    </w:p>
    <w:p w14:paraId="050D98CA">
      <w:pPr>
        <w:pStyle w:val="12"/>
        <w:spacing w:line="360" w:lineRule="auto"/>
        <w:ind w:firstLine="480"/>
        <w:jc w:val="left"/>
        <w:rPr>
          <w:rFonts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（三）黄埔区绿化养护管理检评细则</w:t>
      </w:r>
    </w:p>
    <w:p w14:paraId="1A326AA6">
      <w:pPr>
        <w:pStyle w:val="12"/>
        <w:spacing w:line="360" w:lineRule="auto"/>
        <w:ind w:firstLine="480"/>
        <w:jc w:val="left"/>
        <w:rPr>
          <w:rFonts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按照采购主体相关管理办法开展检评工作，检评主体：区绿化和公园管理中心（以下简称：采购人）负责对本区内绿化养护的质量实施检查评比和监督管理。</w:t>
      </w:r>
    </w:p>
    <w:p w14:paraId="3C35E97D">
      <w:pPr>
        <w:pStyle w:val="12"/>
        <w:spacing w:line="360" w:lineRule="auto"/>
        <w:ind w:firstLine="480"/>
        <w:jc w:val="left"/>
        <w:rPr>
          <w:rFonts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1、日常巡查：</w:t>
      </w:r>
    </w:p>
    <w:p w14:paraId="5324E9A7">
      <w:pPr>
        <w:pStyle w:val="12"/>
        <w:spacing w:line="360" w:lineRule="auto"/>
        <w:ind w:firstLine="480"/>
        <w:jc w:val="left"/>
        <w:rPr>
          <w:rFonts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（1）要求养护单位配备专门巡查人员、专用巡查车辆（不少于两辆）报采购人存档，自行安排日常巡查，发现问题按作业要求进行处理。</w:t>
      </w:r>
    </w:p>
    <w:p w14:paraId="5A049C03">
      <w:pPr>
        <w:pStyle w:val="12"/>
        <w:spacing w:line="360" w:lineRule="auto"/>
        <w:ind w:firstLine="480"/>
        <w:jc w:val="left"/>
        <w:rPr>
          <w:rFonts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（2）由采购人工作人员作日常巡查，对现场的养护效果进行巡查、考评，发现问题记录在案，并通知养护单位限期解决，作为月度考核依据和支付养护费进度款的依据之一。</w:t>
      </w:r>
    </w:p>
    <w:p w14:paraId="52AEABCC">
      <w:pPr>
        <w:pStyle w:val="12"/>
        <w:spacing w:line="360" w:lineRule="auto"/>
        <w:ind w:firstLine="480"/>
        <w:jc w:val="left"/>
        <w:rPr>
          <w:rFonts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2、季度考核：</w:t>
      </w:r>
    </w:p>
    <w:p w14:paraId="702D894D">
      <w:pPr>
        <w:pStyle w:val="12"/>
        <w:spacing w:line="360" w:lineRule="auto"/>
        <w:ind w:firstLine="480"/>
        <w:jc w:val="left"/>
        <w:rPr>
          <w:rFonts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每季度由采购人组织养护单位对所管绿化的养护质量进行全面评分考核，季度考核评分按照《黄埔区市政绿化养护质量季度考核评分标准》执行，评分考核结果作为支付养护费进度款的依据之一。采购人发现修剪、淋水、施肥、病虫害防治和补苗工作存在较明显问题时，采购人养护组督导3次以上、分管领导督导2次以上、主要领导及上级领导督导1次以上，仍未整改到位的养护单位，该季度考评评定为C级。</w:t>
      </w:r>
    </w:p>
    <w:p w14:paraId="4832227D">
      <w:pPr>
        <w:pStyle w:val="12"/>
        <w:spacing w:line="360" w:lineRule="auto"/>
        <w:ind w:left="420"/>
        <w:jc w:val="left"/>
        <w:rPr>
          <w:rFonts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3、扣分标准：</w:t>
      </w:r>
    </w:p>
    <w:p w14:paraId="1CCC3198">
      <w:pPr>
        <w:pStyle w:val="12"/>
        <w:spacing w:line="360" w:lineRule="auto"/>
        <w:ind w:firstLine="480"/>
        <w:jc w:val="left"/>
        <w:rPr>
          <w:rFonts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（1）每扣1分减当月养护款100元。</w:t>
      </w:r>
    </w:p>
    <w:p w14:paraId="681270C6">
      <w:pPr>
        <w:pStyle w:val="12"/>
        <w:spacing w:line="360" w:lineRule="auto"/>
        <w:ind w:firstLine="480"/>
        <w:jc w:val="left"/>
        <w:rPr>
          <w:rFonts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（2）对于缺株、死株、倒伏的严重问题，拒不整改或整改不到位的，或养护单位现场拒绝签字确认的，根据检查情况双倍扣除相应分值的养护款。</w:t>
      </w:r>
    </w:p>
    <w:p w14:paraId="3074F471">
      <w:pPr>
        <w:pStyle w:val="12"/>
        <w:spacing w:line="360" w:lineRule="auto"/>
        <w:ind w:firstLine="240"/>
        <w:jc w:val="left"/>
        <w:rPr>
          <w:rFonts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 xml:space="preserve"> （3）检查发现问题后，即按照本规定的办法扣分，同时要求养护单位限期整改。具体按照《广州开发区绿化和公园管理中心（广州市黄埔区绿化和公园管理中心）市政公共绿化养护管理办法》（修订）执行。</w:t>
      </w:r>
    </w:p>
    <w:p w14:paraId="2086F323">
      <w:pPr>
        <w:pStyle w:val="12"/>
        <w:spacing w:line="360" w:lineRule="auto"/>
        <w:ind w:firstLine="480"/>
        <w:jc w:val="left"/>
        <w:rPr>
          <w:rFonts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4、</w:t>
      </w:r>
      <w:r>
        <w:rPr>
          <w:rFonts w:hint="eastAsia" w:asciiTheme="minorEastAsia" w:hAnsiTheme="minorEastAsia" w:cstheme="minorEastAsia"/>
          <w:color w:val="auto"/>
          <w:sz w:val="24"/>
          <w:highlight w:val="none"/>
        </w:rPr>
        <w:t>奖罚措施</w:t>
      </w:r>
      <w:r>
        <w:rPr>
          <w:rFonts w:asciiTheme="minorEastAsia" w:hAnsiTheme="minorEastAsia" w:cstheme="minorEastAsia"/>
          <w:color w:val="auto"/>
          <w:sz w:val="24"/>
          <w:szCs w:val="24"/>
          <w:highlight w:val="none"/>
        </w:rPr>
        <w:t>：</w:t>
      </w:r>
    </w:p>
    <w:p w14:paraId="5083E2B7">
      <w:pPr>
        <w:pStyle w:val="12"/>
        <w:spacing w:line="360" w:lineRule="auto"/>
        <w:ind w:firstLine="480"/>
        <w:jc w:val="left"/>
        <w:rPr>
          <w:rFonts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扣除养护款。对养护不到位的单位，根据检查扣分情况按前述标准扣除当月相应的养护款，同时要求养护单位限期整改。当省、市行政主管部门或主管局颁发新的规范、条例和要求时，采购人有权根据区域整体养护情况及相关要求，优化养护管理办法、考核内容及分值，采购人具有最终解释权。</w:t>
      </w:r>
    </w:p>
    <w:p w14:paraId="5A791E35">
      <w:pPr>
        <w:pStyle w:val="12"/>
        <w:spacing w:line="360" w:lineRule="auto"/>
        <w:ind w:firstLine="480"/>
        <w:jc w:val="left"/>
        <w:rPr>
          <w:rFonts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（2）解除合同。月养护扣分在</w:t>
      </w:r>
      <w:r>
        <w:rPr>
          <w:rFonts w:asciiTheme="minorEastAsia" w:hAnsiTheme="minorEastAsia" w:cstheme="minorEastAsia"/>
          <w:b/>
          <w:color w:val="auto"/>
          <w:sz w:val="24"/>
          <w:szCs w:val="24"/>
          <w:highlight w:val="none"/>
        </w:rPr>
        <w:t>600分</w:t>
      </w:r>
      <w:r>
        <w:rPr>
          <w:rFonts w:asciiTheme="minorEastAsia" w:hAnsiTheme="minorEastAsia" w:cstheme="minorEastAsia"/>
          <w:color w:val="auto"/>
          <w:sz w:val="24"/>
          <w:szCs w:val="24"/>
          <w:highlight w:val="none"/>
        </w:rPr>
        <w:t>以上的，该月养护质量综合考核结果定为不合格。连续3个月考核结果均为不合格或一年内总的不合格次数累计在5次以上的，采购人有权取消其养护资格，解除合同，收回养护任务，采购人根据考核结果，按中标供应商实际完成的工作量进行结算。</w:t>
      </w:r>
    </w:p>
    <w:p w14:paraId="54DB89FA">
      <w:pPr>
        <w:pStyle w:val="12"/>
        <w:spacing w:line="360" w:lineRule="auto"/>
        <w:ind w:firstLine="480"/>
        <w:rPr>
          <w:rFonts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（3）采购人召开养护工作大会，养护中标供应商应按要求通知相关领导或工作人员参会，无故缺席的，纳入次月养护单位内部管理考核项中检评扣分。</w:t>
      </w:r>
    </w:p>
    <w:p w14:paraId="0FDC75A6">
      <w:pPr>
        <w:pStyle w:val="12"/>
        <w:spacing w:line="360" w:lineRule="auto"/>
        <w:jc w:val="both"/>
        <w:rPr>
          <w:rFonts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 xml:space="preserve">   （4）采购人根据每月市政绿化养护的综合考核分值分别进行月度养护质量排名，排名情况纳入月度考核。市政绿化养护奖励措施参照《广州开发区绿化和公园管理中心（广州市黄埔区绿化和公园管理中心）市政公共绿化养护管理办法》（修订）执行，其他专项奖励以采购人核定为准。</w:t>
      </w:r>
    </w:p>
    <w:p w14:paraId="28382510">
      <w:pPr>
        <w:pStyle w:val="12"/>
        <w:spacing w:line="360" w:lineRule="auto"/>
        <w:ind w:firstLine="480"/>
        <w:rPr>
          <w:rFonts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（5）中标供应商在该养护项目范围中单独路段绿化养护连续2个月度或一年内累计3次养护扣300分以上的，采购人可结合工作情况，将该单独路段交给其他单位进行养护，中标供应商不得提出异议。</w:t>
      </w:r>
    </w:p>
    <w:p w14:paraId="62AF33F8">
      <w:pPr>
        <w:pStyle w:val="12"/>
        <w:spacing w:line="360" w:lineRule="auto"/>
        <w:ind w:firstLine="480"/>
        <w:jc w:val="both"/>
        <w:rPr>
          <w:rFonts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（6）因日常养护管理不当，受到上级管理部门通报、处罚，或被新闻媒体曝光的问题；</w:t>
      </w:r>
      <w:r>
        <w:rPr>
          <w:rFonts w:hint="eastAsia" w:asciiTheme="minorEastAsia" w:hAnsiTheme="minorEastAsia" w:cstheme="minorEastAsia"/>
          <w:color w:val="auto"/>
          <w:sz w:val="24"/>
          <w:szCs w:val="24"/>
          <w:highlight w:val="none"/>
        </w:rPr>
        <w:t>日常养护管理不当，养护范围内出现市政绿化树木砸人、砸车等事件且没有主动对接的</w:t>
      </w:r>
      <w:r>
        <w:rPr>
          <w:rFonts w:hint="eastAsia" w:asciiTheme="minorEastAsia" w:hAnsiTheme="minorEastAsia" w:cstheme="minorEastAsia"/>
          <w:color w:val="auto"/>
          <w:sz w:val="24"/>
          <w:szCs w:val="24"/>
          <w:highlight w:val="none"/>
          <w:lang w:eastAsia="zh-CN"/>
        </w:rPr>
        <w:t>；</w:t>
      </w:r>
      <w:r>
        <w:rPr>
          <w:rFonts w:asciiTheme="minorEastAsia" w:hAnsiTheme="minorEastAsia" w:cstheme="minorEastAsia"/>
          <w:color w:val="auto"/>
          <w:sz w:val="24"/>
          <w:szCs w:val="24"/>
          <w:highlight w:val="none"/>
        </w:rPr>
        <w:t>因市政绿化投诉工单</w:t>
      </w:r>
      <w:r>
        <w:rPr>
          <w:rFonts w:hint="eastAsia" w:asciiTheme="minorEastAsia" w:hAnsiTheme="minorEastAsia" w:cstheme="minorEastAsia"/>
          <w:color w:val="auto"/>
          <w:sz w:val="24"/>
          <w:szCs w:val="24"/>
          <w:highlight w:val="none"/>
        </w:rPr>
        <w:t>未尽职</w:t>
      </w:r>
      <w:r>
        <w:rPr>
          <w:rFonts w:asciiTheme="minorEastAsia" w:hAnsiTheme="minorEastAsia" w:cstheme="minorEastAsia"/>
          <w:color w:val="auto"/>
          <w:sz w:val="24"/>
          <w:szCs w:val="24"/>
          <w:highlight w:val="none"/>
        </w:rPr>
        <w:t>，导致12345热线不满意工单等情形，纳入月度考核。</w:t>
      </w:r>
    </w:p>
    <w:p w14:paraId="2BCCE05E">
      <w:pPr>
        <w:pStyle w:val="12"/>
        <w:spacing w:line="360" w:lineRule="auto"/>
        <w:ind w:firstLine="420"/>
        <w:rPr>
          <w:rFonts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（7）中标供应商在养护过程中积极配合，主动承担非养护范围内的日常养护工作或非养护原因引起的换种、补种等工作，采购人结合实际情况给予奖励。</w:t>
      </w:r>
    </w:p>
    <w:p w14:paraId="048A82A7">
      <w:pPr>
        <w:pStyle w:val="12"/>
        <w:spacing w:line="360" w:lineRule="auto"/>
        <w:ind w:left="540"/>
        <w:jc w:val="left"/>
        <w:rPr>
          <w:rFonts w:asciiTheme="minorEastAsia" w:hAnsiTheme="minorEastAsia" w:cstheme="minorEastAsia"/>
          <w:color w:val="auto"/>
          <w:sz w:val="24"/>
          <w:szCs w:val="24"/>
          <w:highlight w:val="none"/>
        </w:rPr>
      </w:pPr>
      <w:r>
        <w:rPr>
          <w:rFonts w:hint="eastAsia" w:asciiTheme="minorEastAsia" w:hAnsiTheme="minorEastAsia" w:cstheme="minorEastAsia"/>
          <w:b/>
          <w:color w:val="auto"/>
          <w:sz w:val="24"/>
          <w:szCs w:val="24"/>
          <w:highlight w:val="none"/>
          <w:lang w:val="en-US" w:eastAsia="zh-CN"/>
        </w:rPr>
        <w:t>五</w:t>
      </w:r>
      <w:r>
        <w:rPr>
          <w:rFonts w:asciiTheme="minorEastAsia" w:hAnsiTheme="minorEastAsia" w:cstheme="minorEastAsia"/>
          <w:b/>
          <w:color w:val="auto"/>
          <w:sz w:val="24"/>
          <w:szCs w:val="24"/>
          <w:highlight w:val="none"/>
        </w:rPr>
        <w:t>、其他要求</w:t>
      </w:r>
    </w:p>
    <w:p w14:paraId="3C647EC7">
      <w:pPr>
        <w:pStyle w:val="12"/>
        <w:spacing w:line="360" w:lineRule="auto"/>
        <w:ind w:firstLine="480"/>
        <w:jc w:val="left"/>
        <w:rPr>
          <w:rFonts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（一）中标供应商需提供本项目服务组织措施、工作计划及其保证措施、对招标范围内环境特点了解及项目技术措施、安全生产管理及应急保障措施、质量保证方案、工作人员培训及管理方案等资料。</w:t>
      </w:r>
    </w:p>
    <w:p w14:paraId="67E87AF9">
      <w:pPr>
        <w:pStyle w:val="12"/>
        <w:spacing w:line="360" w:lineRule="auto"/>
        <w:ind w:firstLine="480"/>
        <w:jc w:val="left"/>
        <w:rPr>
          <w:rFonts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（二）本项目配备项目负责人1人，资格应具有园林相关专业高级（或以上）技术职称。现场负责人2人，具有园林相关专业中级（或以上）技术职称或具有5年及以上园林相关工作经验；配备资料员1人</w:t>
      </w:r>
      <w:r>
        <w:rPr>
          <w:rFonts w:hint="eastAsia" w:asciiTheme="minorEastAsia" w:hAnsiTheme="minorEastAsia" w:cstheme="minorEastAsia"/>
          <w:color w:val="auto"/>
          <w:sz w:val="24"/>
          <w:szCs w:val="24"/>
          <w:highlight w:val="none"/>
          <w:lang w:eastAsia="zh-CN"/>
        </w:rPr>
        <w:t>；</w:t>
      </w:r>
      <w:r>
        <w:rPr>
          <w:rFonts w:asciiTheme="minorEastAsia" w:hAnsiTheme="minorEastAsia" w:cstheme="minorEastAsia"/>
          <w:color w:val="auto"/>
          <w:sz w:val="24"/>
          <w:szCs w:val="24"/>
          <w:highlight w:val="none"/>
        </w:rPr>
        <w:t>土壤检测员1人；高空作业人员、安全员、病虫害检测人员各</w:t>
      </w:r>
      <w:r>
        <w:rPr>
          <w:rFonts w:hint="eastAsia" w:asciiTheme="minorEastAsia" w:hAnsiTheme="minorEastAsia" w:cstheme="minorEastAsia"/>
          <w:color w:val="auto"/>
          <w:sz w:val="24"/>
          <w:szCs w:val="24"/>
          <w:highlight w:val="none"/>
          <w:lang w:val="en-US" w:eastAsia="zh-CN"/>
        </w:rPr>
        <w:t>2</w:t>
      </w:r>
      <w:r>
        <w:rPr>
          <w:rFonts w:asciiTheme="minorEastAsia" w:hAnsiTheme="minorEastAsia" w:cstheme="minorEastAsia"/>
          <w:color w:val="auto"/>
          <w:sz w:val="24"/>
          <w:szCs w:val="24"/>
          <w:highlight w:val="none"/>
        </w:rPr>
        <w:t>人；修剪工5人等人员；按照养护要求配备的绿化养护人员，一级养护标准配备的养护人员不低于</w:t>
      </w:r>
      <w:r>
        <w:rPr>
          <w:rFonts w:asciiTheme="minorEastAsia" w:hAnsiTheme="minorEastAsia" w:cstheme="minorEastAsia"/>
          <w:b/>
          <w:color w:val="auto"/>
          <w:sz w:val="24"/>
          <w:szCs w:val="24"/>
          <w:highlight w:val="none"/>
        </w:rPr>
        <w:t>1人/6000m</w:t>
      </w:r>
      <w:r>
        <w:rPr>
          <w:rFonts w:asciiTheme="minorEastAsia" w:hAnsiTheme="minorEastAsia" w:cstheme="minorEastAsia"/>
          <w:b/>
          <w:color w:val="auto"/>
          <w:sz w:val="24"/>
          <w:szCs w:val="24"/>
          <w:highlight w:val="none"/>
          <w:vertAlign w:val="superscript"/>
        </w:rPr>
        <w:t>2</w:t>
      </w:r>
      <w:r>
        <w:rPr>
          <w:rFonts w:asciiTheme="minorEastAsia" w:hAnsiTheme="minorEastAsia" w:cstheme="minorEastAsia"/>
          <w:color w:val="auto"/>
          <w:sz w:val="24"/>
          <w:szCs w:val="24"/>
          <w:highlight w:val="none"/>
        </w:rPr>
        <w:t>的标准，二级养护标准配备的养护人员不低于</w:t>
      </w:r>
      <w:r>
        <w:rPr>
          <w:rFonts w:asciiTheme="minorEastAsia" w:hAnsiTheme="minorEastAsia" w:cstheme="minorEastAsia"/>
          <w:b/>
          <w:color w:val="auto"/>
          <w:sz w:val="24"/>
          <w:szCs w:val="24"/>
          <w:highlight w:val="none"/>
        </w:rPr>
        <w:t>1人/8000m</w:t>
      </w:r>
      <w:r>
        <w:rPr>
          <w:rFonts w:asciiTheme="minorEastAsia" w:hAnsiTheme="minorEastAsia" w:cstheme="minorEastAsia"/>
          <w:b/>
          <w:color w:val="auto"/>
          <w:sz w:val="24"/>
          <w:szCs w:val="24"/>
          <w:highlight w:val="none"/>
          <w:vertAlign w:val="superscript"/>
        </w:rPr>
        <w:t>2</w:t>
      </w:r>
      <w:r>
        <w:rPr>
          <w:rFonts w:asciiTheme="minorEastAsia" w:hAnsiTheme="minorEastAsia" w:cstheme="minorEastAsia"/>
          <w:color w:val="auto"/>
          <w:sz w:val="24"/>
          <w:szCs w:val="24"/>
          <w:highlight w:val="none"/>
        </w:rPr>
        <w:t>的标准，三级养护标准配备的养护人员不低于</w:t>
      </w:r>
      <w:r>
        <w:rPr>
          <w:rFonts w:asciiTheme="minorEastAsia" w:hAnsiTheme="minorEastAsia" w:cstheme="minorEastAsia"/>
          <w:b/>
          <w:color w:val="auto"/>
          <w:sz w:val="24"/>
          <w:szCs w:val="24"/>
          <w:highlight w:val="none"/>
        </w:rPr>
        <w:t>1人/10000m</w:t>
      </w:r>
      <w:r>
        <w:rPr>
          <w:rFonts w:asciiTheme="minorEastAsia" w:hAnsiTheme="minorEastAsia" w:cstheme="minorEastAsia"/>
          <w:b/>
          <w:color w:val="auto"/>
          <w:sz w:val="24"/>
          <w:szCs w:val="24"/>
          <w:highlight w:val="none"/>
          <w:vertAlign w:val="superscript"/>
        </w:rPr>
        <w:t>2</w:t>
      </w:r>
      <w:r>
        <w:rPr>
          <w:rFonts w:asciiTheme="minorEastAsia" w:hAnsiTheme="minorEastAsia" w:cstheme="minorEastAsia"/>
          <w:color w:val="auto"/>
          <w:sz w:val="24"/>
          <w:szCs w:val="24"/>
          <w:highlight w:val="none"/>
        </w:rPr>
        <w:t>的标准。中标供应商可在不低于此配备标准的基础上作出其他承诺，中标后需向采购人提供本项目管理人员、技术人员的社保证明。以上所有人员须进行岗前培训，并持有相应的上岗证明。</w:t>
      </w:r>
    </w:p>
    <w:p w14:paraId="56757EE8">
      <w:pPr>
        <w:pStyle w:val="12"/>
        <w:spacing w:line="360" w:lineRule="auto"/>
        <w:ind w:firstLine="480"/>
        <w:jc w:val="left"/>
        <w:rPr>
          <w:rFonts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（三）中标供应商必须与其投入本项目的管理人员和技术人员建立劳动关系，签订劳动合同，并按国家有关规定为其购买社会保险，采购人与中标供应商人员不存在任何劳动劳务、雇佣关系。</w:t>
      </w:r>
    </w:p>
    <w:p w14:paraId="177E3333">
      <w:pPr>
        <w:pStyle w:val="12"/>
        <w:spacing w:line="360" w:lineRule="auto"/>
        <w:ind w:firstLine="480"/>
        <w:jc w:val="left"/>
        <w:rPr>
          <w:rFonts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（四）中标供应商按相关标准做好安全生产工作，在服务期内，发生任何安全事故，由中标供应商承担全部责任。</w:t>
      </w:r>
    </w:p>
    <w:p w14:paraId="58BED7BA">
      <w:pPr>
        <w:pStyle w:val="12"/>
        <w:spacing w:line="360" w:lineRule="auto"/>
        <w:ind w:firstLine="480"/>
        <w:jc w:val="left"/>
        <w:rPr>
          <w:rFonts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五）本项目配备的机械设备最低配置要求为：巡查车2辆、喷药车1台、高空作业车1辆、工具车3辆（1.25吨或以上）、打药机2台、油锯5台、高枝剪10把、绿篱机3台、剪草机3台、草坪打孔机2台、施肥打孔机3台、绿化垃圾粉碎机 1台、洒水车（载重≧10吨）等相关设备，洒水车须按1辆/100000㎡的标准进行配置，结合实际情况开展淋水工作，确保苗木正常生长。所有设备证明材料需提交给采购人备案，自有设备需提供发票扫描件及实物照片，及车辆行驶证扫描件；设备租赁以设备租赁合同（租赁期须满足养护期限）为准，原件中标后备查。</w:t>
      </w:r>
    </w:p>
    <w:p w14:paraId="4D10361B">
      <w:pPr>
        <w:pStyle w:val="12"/>
        <w:spacing w:line="360" w:lineRule="auto"/>
        <w:ind w:firstLine="480"/>
        <w:jc w:val="left"/>
        <w:rPr>
          <w:rFonts w:hint="eastAsia"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（六）中标供应商不得将项目的全部或任何部分分包和转包给他人。</w:t>
      </w:r>
      <w:r>
        <w:rPr>
          <w:rFonts w:hint="eastAsia" w:asciiTheme="minorEastAsia" w:hAnsiTheme="minorEastAsia" w:cstheme="minorEastAsia"/>
          <w:color w:val="auto"/>
          <w:sz w:val="24"/>
          <w:szCs w:val="24"/>
          <w:highlight w:val="none"/>
          <w:lang w:val="en-US" w:eastAsia="zh-CN"/>
        </w:rPr>
        <w:t>如中标供应商为联合体的</w:t>
      </w:r>
      <w:r>
        <w:rPr>
          <w:rFonts w:hint="eastAsia" w:asciiTheme="minorEastAsia" w:hAnsiTheme="minorEastAsia" w:cstheme="minorEastAsia"/>
          <w:color w:val="auto"/>
          <w:sz w:val="24"/>
          <w:szCs w:val="24"/>
          <w:highlight w:val="none"/>
        </w:rPr>
        <w:t>，采购人有权根据工作需要指定联合体牵头主体单位及成员单位的具体工作区域、实施内容等，联合体牵头主体单位及成员单位共同承担合同规定的一切义务和责任。牵头单位有义务主办、协调成员单位开展合同所约定的各项工作，成员单位有义务配合牵头单位开展工作，否则等同视为违约行为，采购人有权要求对应单位按协议金额的10%支付违约金。</w:t>
      </w:r>
    </w:p>
    <w:p w14:paraId="4F5AAC2A">
      <w:pPr>
        <w:pStyle w:val="12"/>
        <w:spacing w:line="360" w:lineRule="auto"/>
        <w:ind w:firstLine="480"/>
        <w:jc w:val="left"/>
        <w:rPr>
          <w:rFonts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（七）采购人按照中标供应商养护工作计划和最低养护人员数量等标准对中标供应商养护人员到位情况进行定期和不定期抽查，对比计划人数每少1名养护人员的每次扣100元养护费，且按采购人的要求限期改正。</w:t>
      </w:r>
    </w:p>
    <w:p w14:paraId="0F790E59">
      <w:pPr>
        <w:pStyle w:val="12"/>
        <w:spacing w:line="360" w:lineRule="auto"/>
        <w:ind w:firstLine="480"/>
        <w:jc w:val="left"/>
        <w:rPr>
          <w:rFonts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八）中标供应商对采购人出具的限期整改通知书不整改或整改不及时的，采购人除按约定条款实行扣分之外，有权另行委托其他单位实施整改，以保证如期按质整改完毕，所需费用在中标供应商的当月养护费中扣除。</w:t>
      </w:r>
    </w:p>
    <w:p w14:paraId="62A15407">
      <w:pPr>
        <w:pStyle w:val="12"/>
        <w:spacing w:line="360" w:lineRule="auto"/>
        <w:ind w:firstLine="480"/>
        <w:jc w:val="left"/>
        <w:rPr>
          <w:rFonts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九）中标供应商要确保一线养护人员的稳定，更换人员必须及时通知采购人，中标供应商不得以通过不正当手法频繁更换人员获取利益。更换项目负责人、现场负责人及园林工程师须经采购人同意；如未征得采购人书面同意，擅自更换项目负责人的，对中标供应商进行通报批评。项目负责人、现场负责人因现场管理不到位，采购人有权要求一周内更换，更换的项目负责人、现场负责人及园林工程师须符合本招标文件的要求。</w:t>
      </w:r>
    </w:p>
    <w:p w14:paraId="18537671">
      <w:pPr>
        <w:pStyle w:val="12"/>
        <w:spacing w:line="360" w:lineRule="auto"/>
        <w:ind w:firstLine="480"/>
        <w:jc w:val="left"/>
        <w:rPr>
          <w:rFonts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（十）服务期满中标供应商未能续获采购人绿化养护服务时，中标供应商要积极配合与下一养护单位交接，不得以任何方式阻碍交接，影响采购人正常工作。</w:t>
      </w:r>
    </w:p>
    <w:p w14:paraId="4F94DD17">
      <w:pPr>
        <w:pStyle w:val="12"/>
        <w:spacing w:line="360" w:lineRule="auto"/>
        <w:ind w:firstLine="480"/>
        <w:jc w:val="left"/>
        <w:rPr>
          <w:rFonts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（十一）★中标人应按照《中华人民共和国劳动法》的相关规定发放工资，服务人员工资不得低于广州市企业职工最低工资标准（工资不含按国家规定供应商必须支付的社会保险及其他应付费用）。</w:t>
      </w:r>
    </w:p>
    <w:p w14:paraId="3D5E15DD">
      <w:pPr>
        <w:pStyle w:val="12"/>
        <w:spacing w:line="360" w:lineRule="auto"/>
        <w:ind w:firstLine="480"/>
        <w:jc w:val="left"/>
        <w:rPr>
          <w:rFonts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（十二）★中标人应按照《中华人民共和国社会保险法》和《住房公积金管理条例》的相关规定，支付国家规定必须购买的社会保险费用和缴存住房公积金。</w:t>
      </w:r>
    </w:p>
    <w:p w14:paraId="15302A83">
      <w:pPr>
        <w:pStyle w:val="12"/>
        <w:spacing w:line="360" w:lineRule="auto"/>
        <w:ind w:firstLine="480"/>
        <w:jc w:val="left"/>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lang w:val="en-US" w:eastAsia="zh-CN"/>
        </w:rPr>
        <w:t>十三）如中标供应商为联合体的，本项目合同由联合体主办方牵头签订。并由联合体主办方负责开具合同价款全额发票、收取合同款项，联合体主办方收取合同款项后由联合体各方自行分配相应款项，或由联合体各方负责开具其对应价款的全额发票，具体分配事宜与采购人无关。</w:t>
      </w:r>
    </w:p>
    <w:p w14:paraId="2647A519">
      <w:pPr>
        <w:pStyle w:val="12"/>
        <w:spacing w:line="360" w:lineRule="auto"/>
        <w:ind w:left="540"/>
        <w:jc w:val="left"/>
        <w:rPr>
          <w:rFonts w:asciiTheme="minorEastAsia" w:hAnsiTheme="minorEastAsia" w:cstheme="minorEastAsia"/>
          <w:color w:val="auto"/>
          <w:sz w:val="24"/>
          <w:szCs w:val="24"/>
          <w:highlight w:val="none"/>
        </w:rPr>
      </w:pPr>
      <w:r>
        <w:rPr>
          <w:rFonts w:hint="eastAsia" w:asciiTheme="minorEastAsia" w:hAnsiTheme="minorEastAsia" w:cstheme="minorEastAsia"/>
          <w:b/>
          <w:color w:val="auto"/>
          <w:sz w:val="24"/>
          <w:szCs w:val="24"/>
          <w:highlight w:val="none"/>
          <w:lang w:val="en-US" w:eastAsia="zh-CN"/>
        </w:rPr>
        <w:t>六</w:t>
      </w:r>
      <w:r>
        <w:rPr>
          <w:rFonts w:asciiTheme="minorEastAsia" w:hAnsiTheme="minorEastAsia" w:cstheme="minorEastAsia"/>
          <w:b/>
          <w:color w:val="auto"/>
          <w:sz w:val="24"/>
          <w:szCs w:val="24"/>
          <w:highlight w:val="none"/>
        </w:rPr>
        <w:t>、付款结算方式</w:t>
      </w:r>
    </w:p>
    <w:p w14:paraId="342C18BF">
      <w:pPr>
        <w:pStyle w:val="12"/>
        <w:spacing w:line="360" w:lineRule="auto"/>
        <w:ind w:firstLine="480"/>
        <w:jc w:val="left"/>
        <w:rPr>
          <w:rFonts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本项目以银行转账方式支付。签订合同且中标供应商提交履约保函后，在财政资金到位情况下，采购人实施分期支付，具体分期付款方式如下：</w:t>
      </w:r>
    </w:p>
    <w:p w14:paraId="291A8110">
      <w:pPr>
        <w:spacing w:beforeLines="0" w:afterLines="0" w:line="360" w:lineRule="auto"/>
        <w:ind w:firstLine="480" w:firstLineChars="200"/>
        <w:rPr>
          <w:rFonts w:hint="eastAsia" w:asciiTheme="minorEastAsia" w:hAnsiTheme="minorEastAsia" w:cstheme="minorEastAsia"/>
          <w:color w:val="auto"/>
          <w:sz w:val="24"/>
          <w:highlight w:val="none"/>
        </w:rPr>
      </w:pPr>
      <w:r>
        <w:rPr>
          <w:rFonts w:hint="eastAsia" w:asciiTheme="minorEastAsia" w:hAnsiTheme="minorEastAsia" w:cstheme="minorEastAsia"/>
          <w:color w:val="auto"/>
          <w:sz w:val="24"/>
          <w:szCs w:val="24"/>
          <w:highlight w:val="none"/>
          <w:lang w:eastAsia="zh-CN"/>
        </w:rPr>
        <w:t>第</w:t>
      </w:r>
      <w:r>
        <w:rPr>
          <w:rFonts w:hint="eastAsia" w:asciiTheme="minorEastAsia" w:hAnsiTheme="minorEastAsia" w:cstheme="minorEastAsia"/>
          <w:color w:val="auto"/>
          <w:sz w:val="24"/>
          <w:szCs w:val="24"/>
          <w:highlight w:val="none"/>
          <w:lang w:val="en-US" w:eastAsia="zh-CN"/>
        </w:rPr>
        <w:t>1期为预付款</w:t>
      </w:r>
      <w:r>
        <w:rPr>
          <w:rFonts w:hint="eastAsia" w:asciiTheme="minorEastAsia" w:hAnsiTheme="minorEastAsia" w:cstheme="minorEastAsia"/>
          <w:color w:val="auto"/>
          <w:sz w:val="24"/>
          <w:highlight w:val="none"/>
        </w:rPr>
        <w:t>：</w:t>
      </w:r>
      <w:r>
        <w:rPr>
          <w:rStyle w:val="15"/>
          <w:rFonts w:hint="eastAsia" w:asciiTheme="minorEastAsia" w:hAnsiTheme="minorEastAsia" w:eastAsiaTheme="minorEastAsia" w:cstheme="minorEastAsia"/>
          <w:b w:val="0"/>
          <w:i w:val="0"/>
          <w:caps w:val="0"/>
          <w:color w:val="auto"/>
          <w:spacing w:val="0"/>
          <w:w w:val="100"/>
          <w:kern w:val="2"/>
          <w:sz w:val="24"/>
          <w:szCs w:val="24"/>
          <w:highlight w:val="none"/>
          <w:u w:val="none" w:color="auto"/>
          <w:lang w:val="en-US" w:eastAsia="zh-CN" w:bidi="ar-SA"/>
        </w:rPr>
        <w:t>支付比例30%，以采购人、采购人委托的第三方单位（如有）、中标供应商共同核实确认的实际服务工作量作为拨付预付款的依据。在合同签订生效以及中标供应商进场服务后，采购人按照合同金额的30%支付预付款，预付款从进度款中一次性全额扣回，在进度款支付时先行抵扣。</w:t>
      </w:r>
    </w:p>
    <w:p w14:paraId="710438B2">
      <w:pPr>
        <w:pStyle w:val="12"/>
        <w:spacing w:line="360" w:lineRule="auto"/>
        <w:ind w:firstLine="480"/>
        <w:rPr>
          <w:rFonts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第2期为(进度款)：支付比例20%，具体支付情况如下：</w:t>
      </w:r>
    </w:p>
    <w:p w14:paraId="31794C2E">
      <w:pPr>
        <w:pStyle w:val="12"/>
        <w:spacing w:line="360" w:lineRule="auto"/>
        <w:ind w:firstLine="480"/>
        <w:rPr>
          <w:rFonts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1.按季度支付，原则上在下一个季度办理上一季度的养护款支付手续，中标供应商在每季度初15个工作日内办理上季度的养护款支付手续，支付比例如下：</w:t>
      </w:r>
    </w:p>
    <w:p w14:paraId="672E07D7">
      <w:pPr>
        <w:pStyle w:val="12"/>
        <w:spacing w:line="360" w:lineRule="auto"/>
        <w:ind w:firstLine="480"/>
        <w:rPr>
          <w:rFonts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（1）采购人按实际养护量与中标单价计算金额的60％，结合检评扣分或加分记录进行支付。</w:t>
      </w:r>
    </w:p>
    <w:p w14:paraId="6CF5EA30">
      <w:pPr>
        <w:pStyle w:val="12"/>
        <w:spacing w:line="360" w:lineRule="auto"/>
        <w:ind w:firstLine="480"/>
        <w:rPr>
          <w:rFonts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（2）余下的40%费用经采购人或采购人委托的第三方单位</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lang w:val="en-US" w:eastAsia="zh-CN"/>
        </w:rPr>
        <w:t>如有）</w:t>
      </w:r>
      <w:r>
        <w:rPr>
          <w:rFonts w:asciiTheme="minorEastAsia" w:hAnsiTheme="minorEastAsia" w:cstheme="minorEastAsia"/>
          <w:color w:val="auto"/>
          <w:sz w:val="24"/>
          <w:szCs w:val="24"/>
          <w:highlight w:val="none"/>
        </w:rPr>
        <w:t>每季度实际养护量，按实际完成的工作量、苗木长势、养护效果进行考核评分，评价分与100分的比值作为该40％费用的支付比例进行支付。季度评分主要是对修剪、淋水、施肥、病虫害防治和补苗5项工作的总体评价，其中修剪占比6%（15分）、淋水占比8%（20分）、施肥占比8%（20分）、病虫害防治占比6%（15分）、补苗占比12%（30分），季度考核评分按照附件3《黄埔区市政绿化养护质量季度考核评分标准》执行。</w:t>
      </w:r>
    </w:p>
    <w:p w14:paraId="070484B8">
      <w:pPr>
        <w:pStyle w:val="12"/>
        <w:spacing w:line="360" w:lineRule="auto"/>
        <w:ind w:firstLine="480"/>
        <w:rPr>
          <w:rFonts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2.当符合支付条件时，采购人原则上在收到中标供应商按相关要求提供的等额正式发票及完整的请款资料后5个工作日内办理支付手续。</w:t>
      </w:r>
    </w:p>
    <w:p w14:paraId="6336247C">
      <w:pPr>
        <w:pStyle w:val="12"/>
        <w:spacing w:line="360" w:lineRule="auto"/>
        <w:ind w:firstLine="480"/>
        <w:rPr>
          <w:rFonts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3.本项目的经费由财政拨款，采用财政集中支付方式由区财政直接支付，付款时间为财政资金到位情况下采购人向财政部门提出支付申请的时间，不含财政部门审查的时间，因财政支付管理流程等特殊情况影响或中标供应商原因造成的支付延迟不属于采购人违约，采购人不承担逾期付款的违约责任。中标供应商不得以此为由延迟履行或拒不履行服务，否则采购人将按规定扣减当月服务费。</w:t>
      </w:r>
    </w:p>
    <w:p w14:paraId="5EC6A36B">
      <w:pPr>
        <w:pStyle w:val="12"/>
        <w:spacing w:line="360" w:lineRule="auto"/>
        <w:ind w:firstLine="480"/>
        <w:rPr>
          <w:rFonts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第3期为(进度款)：支付比例25%，详见第2期支付说明。</w:t>
      </w:r>
    </w:p>
    <w:p w14:paraId="7FC4D9A7">
      <w:pPr>
        <w:pStyle w:val="12"/>
        <w:spacing w:line="360" w:lineRule="auto"/>
        <w:ind w:firstLine="480"/>
        <w:rPr>
          <w:rFonts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第4期为(进度款)：支付比例25%，详见第2期支付说明。</w:t>
      </w:r>
    </w:p>
    <w:p w14:paraId="3FEA8072">
      <w:pPr>
        <w:pStyle w:val="12"/>
        <w:spacing w:line="360" w:lineRule="auto"/>
        <w:ind w:left="540"/>
        <w:jc w:val="left"/>
        <w:rPr>
          <w:rFonts w:asciiTheme="minorEastAsia" w:hAnsiTheme="minorEastAsia" w:cstheme="minorEastAsia"/>
          <w:color w:val="auto"/>
          <w:sz w:val="24"/>
          <w:szCs w:val="24"/>
          <w:highlight w:val="none"/>
        </w:rPr>
      </w:pPr>
      <w:r>
        <w:rPr>
          <w:rFonts w:hint="eastAsia" w:asciiTheme="minorEastAsia" w:hAnsiTheme="minorEastAsia" w:cstheme="minorEastAsia"/>
          <w:b/>
          <w:color w:val="auto"/>
          <w:sz w:val="24"/>
          <w:szCs w:val="24"/>
          <w:highlight w:val="none"/>
          <w:lang w:val="en-US" w:eastAsia="zh-CN"/>
        </w:rPr>
        <w:t>七</w:t>
      </w:r>
      <w:r>
        <w:rPr>
          <w:rFonts w:asciiTheme="minorEastAsia" w:hAnsiTheme="minorEastAsia" w:cstheme="minorEastAsia"/>
          <w:b/>
          <w:color w:val="auto"/>
          <w:sz w:val="24"/>
          <w:szCs w:val="24"/>
          <w:highlight w:val="none"/>
        </w:rPr>
        <w:t>、履约担保</w:t>
      </w:r>
    </w:p>
    <w:p w14:paraId="7884C717">
      <w:pPr>
        <w:pStyle w:val="12"/>
        <w:spacing w:line="360" w:lineRule="auto"/>
        <w:ind w:firstLine="480"/>
        <w:jc w:val="both"/>
        <w:rPr>
          <w:rFonts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（一）采购人与中标供应商在签订合同后30个工作日内，中标供应商以保函或保证保险等形式一次性向采购人提交合同金额5%的履约保证金作为履约担保，并将履约保函原件提交给</w:t>
      </w:r>
      <w:r>
        <w:rPr>
          <w:rFonts w:hint="eastAsia" w:asciiTheme="minorEastAsia" w:hAnsiTheme="minorEastAsia" w:cstheme="minorEastAsia"/>
          <w:color w:val="auto"/>
          <w:sz w:val="24"/>
          <w:szCs w:val="24"/>
          <w:highlight w:val="none"/>
          <w:lang w:eastAsia="zh-CN"/>
        </w:rPr>
        <w:t>采购人</w:t>
      </w:r>
      <w:r>
        <w:rPr>
          <w:rFonts w:asciiTheme="minorEastAsia" w:hAnsiTheme="minorEastAsia" w:cstheme="minorEastAsia"/>
          <w:color w:val="auto"/>
          <w:sz w:val="24"/>
          <w:szCs w:val="24"/>
          <w:highlight w:val="none"/>
        </w:rPr>
        <w:t>。履约担保在合同服务期届满之日起满六个月后自动失效。若中标供应商无违约行为，在履约担保有效期届满后，中标供应商提出申请，采购人将履约担保无息退还中标供应商。对于因中标供应商原因提前解除合同的，或造成采购人受到较大损失的，或在服务期发现中标供应商原投标材料有虚假证明，报经政府采购管理部门认定属实后依法进行处罚的，或中标供应商擅自将本项目转包或分包的，该履约保证金不予退还。</w:t>
      </w:r>
    </w:p>
    <w:p w14:paraId="7125D76F">
      <w:pPr>
        <w:pStyle w:val="12"/>
        <w:spacing w:line="360" w:lineRule="auto"/>
        <w:ind w:firstLine="480"/>
        <w:jc w:val="both"/>
        <w:rPr>
          <w:rFonts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（二）中标供应商发生如下情形之一，造成采购人经济损失的，采购人可根据损失的数额直接在履约保证金中抵扣，作为造成各种损失的补偿，不足部分由中标供应商直接支付：</w:t>
      </w:r>
    </w:p>
    <w:p w14:paraId="683101CD">
      <w:pPr>
        <w:pStyle w:val="12"/>
        <w:spacing w:line="360" w:lineRule="auto"/>
        <w:ind w:firstLine="480"/>
        <w:jc w:val="both"/>
        <w:rPr>
          <w:rFonts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1.中标供应商未能按合同约定履行服务义务、职责而造成采购人财物损失的；</w:t>
      </w:r>
    </w:p>
    <w:p w14:paraId="70898432">
      <w:pPr>
        <w:pStyle w:val="12"/>
        <w:spacing w:line="360" w:lineRule="auto"/>
        <w:ind w:firstLine="480"/>
        <w:jc w:val="both"/>
        <w:rPr>
          <w:rFonts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2.中标供应商在服务过程中发生严重失职导致责任事故或者造成不良社会影响的；</w:t>
      </w:r>
    </w:p>
    <w:p w14:paraId="795FC7F0">
      <w:pPr>
        <w:pStyle w:val="12"/>
        <w:spacing w:line="360" w:lineRule="auto"/>
        <w:ind w:firstLine="480"/>
        <w:jc w:val="both"/>
        <w:rPr>
          <w:rFonts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3.中标供应商克扣人员工资或未按规定及时足额支付人员工资福利待遇的；</w:t>
      </w:r>
    </w:p>
    <w:p w14:paraId="4C466500">
      <w:pPr>
        <w:pStyle w:val="12"/>
        <w:spacing w:line="360" w:lineRule="auto"/>
        <w:ind w:firstLine="480"/>
        <w:jc w:val="both"/>
        <w:rPr>
          <w:rFonts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4.中标供应商违反合同规定，所提供的服务未达到合同要求，经采购人发出书面整改通知累计达三次，中标供应商仍未按要求及时完成整改的。</w:t>
      </w:r>
    </w:p>
    <w:p w14:paraId="666116A7">
      <w:pPr>
        <w:pStyle w:val="12"/>
        <w:spacing w:line="360" w:lineRule="auto"/>
        <w:ind w:firstLine="480"/>
        <w:jc w:val="both"/>
        <w:rPr>
          <w:rFonts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（三）逾期不退还履约保证金（履约担保）的违约责任：</w:t>
      </w:r>
    </w:p>
    <w:p w14:paraId="0E5190DA">
      <w:pPr>
        <w:pStyle w:val="12"/>
        <w:spacing w:line="360" w:lineRule="auto"/>
        <w:ind w:firstLine="480"/>
        <w:jc w:val="both"/>
        <w:rPr>
          <w:rFonts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因采购人原因逾期退还履约保证金（履约担保）给中标供应商造成损失的，由采购人负责赔偿。</w:t>
      </w:r>
    </w:p>
    <w:p w14:paraId="25B484F8">
      <w:pPr>
        <w:pStyle w:val="12"/>
        <w:spacing w:line="360" w:lineRule="auto"/>
        <w:ind w:firstLine="480"/>
        <w:jc w:val="both"/>
        <w:rPr>
          <w:rFonts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四）合同期内，中标供应商违约，严重影响采购人正常工作，造成人身伤害、财产受损，采购人可按合同违约条款终止合同，并向中标供应商索偿；中标供应商拒绝赔偿的，履约保证金将用于抵扣采购人经济损失，如履约保证金不足以抵扣损失时，采购人有权另行向中标供应商追偿。任何原因导致履约保证金不足额，中标供应商应在收到采购人通知后30个工作日内补缴足额。</w:t>
      </w:r>
    </w:p>
    <w:p w14:paraId="77D5B0A8">
      <w:pPr>
        <w:pStyle w:val="12"/>
        <w:spacing w:line="360" w:lineRule="auto"/>
        <w:ind w:left="540"/>
        <w:jc w:val="left"/>
        <w:rPr>
          <w:rFonts w:asciiTheme="minorEastAsia" w:hAnsiTheme="minorEastAsia" w:cstheme="minorEastAsia"/>
          <w:color w:val="auto"/>
          <w:sz w:val="24"/>
          <w:szCs w:val="24"/>
          <w:highlight w:val="none"/>
        </w:rPr>
      </w:pPr>
      <w:r>
        <w:rPr>
          <w:rFonts w:hint="eastAsia" w:asciiTheme="minorEastAsia" w:hAnsiTheme="minorEastAsia" w:cstheme="minorEastAsia"/>
          <w:b/>
          <w:color w:val="auto"/>
          <w:sz w:val="24"/>
          <w:szCs w:val="24"/>
          <w:highlight w:val="none"/>
          <w:lang w:val="en-US" w:eastAsia="zh-CN"/>
        </w:rPr>
        <w:t>八</w:t>
      </w:r>
      <w:r>
        <w:rPr>
          <w:rFonts w:asciiTheme="minorEastAsia" w:hAnsiTheme="minorEastAsia" w:cstheme="minorEastAsia"/>
          <w:b/>
          <w:color w:val="auto"/>
          <w:sz w:val="24"/>
          <w:szCs w:val="24"/>
          <w:highlight w:val="none"/>
        </w:rPr>
        <w:t>、报价要求</w:t>
      </w:r>
    </w:p>
    <w:p w14:paraId="4BBBBDDE">
      <w:pPr>
        <w:pStyle w:val="12"/>
        <w:spacing w:line="360" w:lineRule="auto"/>
        <w:ind w:firstLine="480" w:firstLineChars="200"/>
        <w:rPr>
          <w:rFonts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（一）★行道树养护单价最高限价：</w:t>
      </w:r>
      <w:r>
        <w:rPr>
          <w:rFonts w:hint="eastAsia" w:asciiTheme="minorEastAsia" w:hAnsiTheme="minorEastAsia" w:cstheme="minorEastAsia"/>
          <w:b/>
          <w:bCs/>
          <w:color w:val="auto"/>
          <w:sz w:val="24"/>
          <w:szCs w:val="24"/>
          <w:highlight w:val="none"/>
          <w:lang w:val="en-US" w:eastAsia="zh-CN"/>
        </w:rPr>
        <w:t>64.32</w:t>
      </w:r>
      <w:r>
        <w:rPr>
          <w:rFonts w:asciiTheme="minorEastAsia" w:hAnsiTheme="minorEastAsia" w:cstheme="minorEastAsia"/>
          <w:color w:val="auto"/>
          <w:sz w:val="24"/>
          <w:szCs w:val="24"/>
          <w:highlight w:val="none"/>
        </w:rPr>
        <w:t>元/株/年；市政公共绿地一级养护单价最高限价：</w:t>
      </w:r>
      <w:r>
        <w:rPr>
          <w:rFonts w:hint="eastAsia" w:asciiTheme="minorEastAsia" w:hAnsiTheme="minorEastAsia" w:cstheme="minorEastAsia"/>
          <w:b/>
          <w:bCs/>
          <w:color w:val="auto"/>
          <w:sz w:val="24"/>
          <w:szCs w:val="24"/>
          <w:highlight w:val="none"/>
          <w:lang w:eastAsia="zh-CN"/>
        </w:rPr>
        <w:t>1</w:t>
      </w:r>
      <w:r>
        <w:rPr>
          <w:rFonts w:hint="eastAsia" w:asciiTheme="minorEastAsia" w:hAnsiTheme="minorEastAsia" w:cstheme="minorEastAsia"/>
          <w:b/>
          <w:bCs/>
          <w:color w:val="auto"/>
          <w:sz w:val="24"/>
          <w:szCs w:val="24"/>
          <w:highlight w:val="none"/>
          <w:lang w:val="en-US" w:eastAsia="zh-CN"/>
        </w:rPr>
        <w:t>3.08</w:t>
      </w:r>
      <w:r>
        <w:rPr>
          <w:rFonts w:asciiTheme="minorEastAsia" w:hAnsiTheme="minorEastAsia" w:cstheme="minorEastAsia"/>
          <w:color w:val="auto"/>
          <w:sz w:val="24"/>
          <w:szCs w:val="24"/>
          <w:highlight w:val="none"/>
        </w:rPr>
        <w:t>元/平方米/年；市政公共绿地二级养护单价最高限价：</w:t>
      </w:r>
      <w:r>
        <w:rPr>
          <w:rFonts w:hint="eastAsia" w:asciiTheme="minorEastAsia" w:hAnsiTheme="minorEastAsia" w:cstheme="minorEastAsia"/>
          <w:b/>
          <w:bCs/>
          <w:color w:val="auto"/>
          <w:sz w:val="24"/>
          <w:szCs w:val="24"/>
          <w:highlight w:val="none"/>
          <w:lang w:eastAsia="zh-CN"/>
        </w:rPr>
        <w:t>8</w:t>
      </w:r>
      <w:r>
        <w:rPr>
          <w:rFonts w:hint="eastAsia" w:asciiTheme="minorEastAsia" w:hAnsiTheme="minorEastAsia" w:cstheme="minorEastAsia"/>
          <w:b/>
          <w:bCs/>
          <w:color w:val="auto"/>
          <w:sz w:val="24"/>
          <w:szCs w:val="24"/>
          <w:highlight w:val="none"/>
          <w:lang w:val="en-US" w:eastAsia="zh-CN"/>
        </w:rPr>
        <w:t>.20</w:t>
      </w:r>
      <w:r>
        <w:rPr>
          <w:rFonts w:asciiTheme="minorEastAsia" w:hAnsiTheme="minorEastAsia" w:cstheme="minorEastAsia"/>
          <w:color w:val="auto"/>
          <w:sz w:val="24"/>
          <w:szCs w:val="24"/>
          <w:highlight w:val="none"/>
        </w:rPr>
        <w:t>元/平方米/年；市政公共绿地三级养护单价最高限价：</w:t>
      </w:r>
      <w:r>
        <w:rPr>
          <w:rFonts w:hint="eastAsia" w:asciiTheme="minorEastAsia" w:hAnsiTheme="minorEastAsia" w:cstheme="minorEastAsia"/>
          <w:b/>
          <w:bCs/>
          <w:color w:val="auto"/>
          <w:sz w:val="24"/>
          <w:szCs w:val="24"/>
          <w:highlight w:val="none"/>
          <w:lang w:eastAsia="zh-CN"/>
        </w:rPr>
        <w:t>4</w:t>
      </w:r>
      <w:r>
        <w:rPr>
          <w:rFonts w:hint="eastAsia" w:asciiTheme="minorEastAsia" w:hAnsiTheme="minorEastAsia" w:cstheme="minorEastAsia"/>
          <w:b/>
          <w:bCs/>
          <w:color w:val="auto"/>
          <w:sz w:val="24"/>
          <w:szCs w:val="24"/>
          <w:highlight w:val="none"/>
          <w:lang w:val="en-US" w:eastAsia="zh-CN"/>
        </w:rPr>
        <w:t>.99</w:t>
      </w:r>
      <w:r>
        <w:rPr>
          <w:rFonts w:asciiTheme="minorEastAsia" w:hAnsiTheme="minorEastAsia" w:cstheme="minorEastAsia"/>
          <w:color w:val="auto"/>
          <w:sz w:val="24"/>
          <w:szCs w:val="24"/>
          <w:highlight w:val="none"/>
        </w:rPr>
        <w:t>元/平方米/年；垂直立体绿化养护单价最高限价：</w:t>
      </w:r>
      <w:r>
        <w:rPr>
          <w:rFonts w:hint="eastAsia" w:asciiTheme="minorEastAsia" w:hAnsiTheme="minorEastAsia" w:cstheme="minorEastAsia"/>
          <w:b/>
          <w:bCs/>
          <w:color w:val="auto"/>
          <w:sz w:val="24"/>
          <w:szCs w:val="24"/>
          <w:highlight w:val="none"/>
          <w:lang w:eastAsia="zh-CN"/>
        </w:rPr>
        <w:t>3</w:t>
      </w:r>
      <w:r>
        <w:rPr>
          <w:rFonts w:hint="eastAsia" w:asciiTheme="minorEastAsia" w:hAnsiTheme="minorEastAsia" w:cstheme="minorEastAsia"/>
          <w:b/>
          <w:bCs/>
          <w:color w:val="auto"/>
          <w:sz w:val="24"/>
          <w:szCs w:val="24"/>
          <w:highlight w:val="none"/>
          <w:lang w:val="en-US" w:eastAsia="zh-CN"/>
        </w:rPr>
        <w:t>9.61</w:t>
      </w:r>
      <w:r>
        <w:rPr>
          <w:rFonts w:asciiTheme="minorEastAsia" w:hAnsiTheme="minorEastAsia" w:cstheme="minorEastAsia"/>
          <w:color w:val="auto"/>
          <w:sz w:val="24"/>
          <w:szCs w:val="24"/>
          <w:highlight w:val="none"/>
        </w:rPr>
        <w:t>元/平方米/年；防护林带单价最高限价：</w:t>
      </w:r>
      <w:r>
        <w:rPr>
          <w:rFonts w:asciiTheme="minorEastAsia" w:hAnsiTheme="minorEastAsia" w:cstheme="minorEastAsia"/>
          <w:b/>
          <w:bCs/>
          <w:color w:val="auto"/>
          <w:sz w:val="24"/>
          <w:szCs w:val="24"/>
          <w:highlight w:val="none"/>
        </w:rPr>
        <w:t>1.00</w:t>
      </w:r>
      <w:r>
        <w:rPr>
          <w:rFonts w:asciiTheme="minorEastAsia" w:hAnsiTheme="minorEastAsia" w:cstheme="minorEastAsia"/>
          <w:color w:val="auto"/>
          <w:sz w:val="24"/>
          <w:szCs w:val="24"/>
          <w:highlight w:val="none"/>
        </w:rPr>
        <w:t>元/平方米/年；</w:t>
      </w:r>
      <w:r>
        <w:rPr>
          <w:rFonts w:hint="eastAsia" w:asciiTheme="minorEastAsia" w:hAnsiTheme="minorEastAsia" w:cstheme="minorEastAsia"/>
          <w:color w:val="auto"/>
          <w:sz w:val="24"/>
          <w:szCs w:val="24"/>
          <w:highlight w:val="none"/>
        </w:rPr>
        <w:t>园道保洁</w:t>
      </w:r>
      <w:r>
        <w:rPr>
          <w:rFonts w:asciiTheme="minorEastAsia" w:hAnsiTheme="minorEastAsia" w:cstheme="minorEastAsia"/>
          <w:color w:val="auto"/>
          <w:sz w:val="24"/>
          <w:szCs w:val="24"/>
          <w:highlight w:val="none"/>
        </w:rPr>
        <w:t>单价最高限价：</w:t>
      </w:r>
      <w:r>
        <w:rPr>
          <w:rFonts w:hint="eastAsia" w:asciiTheme="minorEastAsia" w:hAnsiTheme="minorEastAsia" w:cstheme="minorEastAsia"/>
          <w:b/>
          <w:bCs/>
          <w:color w:val="auto"/>
          <w:sz w:val="24"/>
          <w:szCs w:val="24"/>
          <w:highlight w:val="none"/>
          <w:lang w:val="en-US" w:eastAsia="zh-CN"/>
        </w:rPr>
        <w:t>8.24</w:t>
      </w:r>
      <w:r>
        <w:rPr>
          <w:rFonts w:asciiTheme="minorEastAsia" w:hAnsiTheme="minorEastAsia" w:cstheme="minorEastAsia"/>
          <w:color w:val="auto"/>
          <w:sz w:val="24"/>
          <w:szCs w:val="24"/>
          <w:highlight w:val="none"/>
        </w:rPr>
        <w:t>元/平方米/年。</w:t>
      </w:r>
    </w:p>
    <w:p w14:paraId="56B168AD">
      <w:pPr>
        <w:pStyle w:val="12"/>
        <w:spacing w:line="360" w:lineRule="auto"/>
        <w:ind w:firstLine="480" w:firstLineChars="200"/>
        <w:rPr>
          <w:rFonts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（二）以上单价最高限价参考《</w:t>
      </w:r>
      <w:r>
        <w:rPr>
          <w:rFonts w:hint="eastAsia" w:asciiTheme="minorEastAsia" w:hAnsiTheme="minorEastAsia" w:cstheme="minorEastAsia"/>
          <w:color w:val="auto"/>
          <w:sz w:val="24"/>
          <w:szCs w:val="24"/>
          <w:highlight w:val="none"/>
          <w:lang w:val="en-US" w:eastAsia="zh-CN"/>
        </w:rPr>
        <w:t>2025年黄埔区绿化常规养护工程定额标准项目成本预算绩效分析报告》</w:t>
      </w:r>
      <w:r>
        <w:rPr>
          <w:rFonts w:asciiTheme="minorEastAsia" w:hAnsiTheme="minorEastAsia" w:cstheme="minorEastAsia"/>
          <w:color w:val="auto"/>
          <w:sz w:val="24"/>
          <w:szCs w:val="24"/>
          <w:highlight w:val="none"/>
        </w:rPr>
        <w:t>及按照年度实际下达政府采购预算进行编制。</w:t>
      </w:r>
    </w:p>
    <w:p w14:paraId="73BC567C">
      <w:pPr>
        <w:pStyle w:val="12"/>
        <w:spacing w:line="360" w:lineRule="auto"/>
        <w:ind w:firstLine="482" w:firstLineChars="200"/>
        <w:jc w:val="both"/>
        <w:rPr>
          <w:rFonts w:asciiTheme="minorEastAsia" w:hAnsiTheme="minorEastAsia" w:cstheme="minorEastAsia"/>
          <w:b/>
          <w:bCs/>
          <w:color w:val="auto"/>
          <w:sz w:val="24"/>
          <w:szCs w:val="24"/>
          <w:highlight w:val="none"/>
        </w:rPr>
      </w:pPr>
      <w:r>
        <w:rPr>
          <w:rFonts w:hint="eastAsia" w:asciiTheme="minorEastAsia" w:hAnsiTheme="minorEastAsia" w:cstheme="minorEastAsia"/>
          <w:b/>
          <w:bCs/>
          <w:color w:val="auto"/>
          <w:sz w:val="24"/>
          <w:szCs w:val="24"/>
          <w:highlight w:val="none"/>
          <w:lang w:val="en-US" w:eastAsia="zh-CN"/>
        </w:rPr>
        <w:t>九、</w:t>
      </w:r>
      <w:r>
        <w:rPr>
          <w:rFonts w:asciiTheme="minorEastAsia" w:hAnsiTheme="minorEastAsia" w:cstheme="minorEastAsia"/>
          <w:b/>
          <w:bCs/>
          <w:color w:val="auto"/>
          <w:sz w:val="24"/>
          <w:szCs w:val="24"/>
          <w:highlight w:val="none"/>
        </w:rPr>
        <w:t>附件</w:t>
      </w:r>
    </w:p>
    <w:p w14:paraId="76279FB4">
      <w:pPr>
        <w:pStyle w:val="12"/>
        <w:spacing w:line="360" w:lineRule="auto"/>
        <w:ind w:firstLine="480" w:firstLineChars="200"/>
        <w:jc w:val="both"/>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附件1：</w:t>
      </w:r>
      <w:r>
        <w:rPr>
          <w:rFonts w:hint="eastAsia" w:asciiTheme="minorEastAsia" w:hAnsiTheme="minorEastAsia" w:eastAsiaTheme="minorEastAsia" w:cstheme="minorEastAsia"/>
          <w:b w:val="0"/>
          <w:bCs w:val="0"/>
          <w:i w:val="0"/>
          <w:caps w:val="0"/>
          <w:color w:val="auto"/>
          <w:spacing w:val="0"/>
          <w:w w:val="100"/>
          <w:kern w:val="0"/>
          <w:sz w:val="24"/>
          <w:szCs w:val="24"/>
          <w:highlight w:val="none"/>
          <w:u w:val="none"/>
          <w:lang w:val="en-US" w:eastAsia="zh-CN" w:bidi="ar-SA"/>
        </w:rPr>
        <w:t>《投标报价书》</w:t>
      </w:r>
    </w:p>
    <w:p w14:paraId="6C33689E">
      <w:pPr>
        <w:pStyle w:val="12"/>
        <w:spacing w:line="360" w:lineRule="auto"/>
        <w:ind w:firstLine="480" w:firstLineChars="200"/>
        <w:jc w:val="both"/>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附件</w:t>
      </w:r>
      <w:r>
        <w:rPr>
          <w:rFonts w:hint="eastAsia" w:asciiTheme="minorEastAsia" w:hAnsiTheme="minorEastAsia" w:cstheme="minorEastAsia"/>
          <w:color w:val="auto"/>
          <w:sz w:val="24"/>
          <w:szCs w:val="24"/>
          <w:highlight w:val="none"/>
          <w:lang w:eastAsia="zh-CN"/>
        </w:rPr>
        <w:t>2</w:t>
      </w:r>
      <w:r>
        <w:rPr>
          <w:rFonts w:asciiTheme="minorEastAsia" w:hAnsiTheme="minorEastAsia" w:cstheme="minorEastAsia"/>
          <w:color w:val="auto"/>
          <w:sz w:val="24"/>
          <w:szCs w:val="24"/>
          <w:highlight w:val="none"/>
        </w:rPr>
        <w:t>：广州市绿化条例</w:t>
      </w:r>
    </w:p>
    <w:p w14:paraId="21C85036">
      <w:pPr>
        <w:pStyle w:val="12"/>
        <w:spacing w:line="360" w:lineRule="auto"/>
        <w:ind w:left="0" w:firstLine="480" w:firstLineChars="200"/>
        <w:rPr>
          <w:rFonts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附件</w:t>
      </w:r>
      <w:r>
        <w:rPr>
          <w:rFonts w:hint="eastAsia" w:asciiTheme="minorEastAsia" w:hAnsiTheme="minorEastAsia" w:cstheme="minorEastAsia"/>
          <w:color w:val="auto"/>
          <w:sz w:val="24"/>
          <w:szCs w:val="24"/>
          <w:highlight w:val="none"/>
          <w:lang w:eastAsia="zh-CN"/>
        </w:rPr>
        <w:t>3</w:t>
      </w:r>
      <w:r>
        <w:rPr>
          <w:rFonts w:asciiTheme="minorEastAsia" w:hAnsiTheme="minorEastAsia" w:cstheme="minorEastAsia"/>
          <w:color w:val="auto"/>
          <w:sz w:val="24"/>
          <w:szCs w:val="24"/>
          <w:highlight w:val="none"/>
        </w:rPr>
        <w:t>：广州市地方标准 园林绿地养护管理技术规范（DB4401/T 6-2018)</w:t>
      </w:r>
    </w:p>
    <w:p w14:paraId="2484D244">
      <w:pPr>
        <w:pStyle w:val="12"/>
        <w:spacing w:line="360" w:lineRule="auto"/>
        <w:ind w:left="0" w:firstLine="480" w:firstLineChars="200"/>
        <w:rPr>
          <w:rFonts w:asciiTheme="minorEastAsia" w:hAnsiTheme="minorEastAsia" w:cstheme="minorEastAsia"/>
          <w:color w:val="auto"/>
          <w:sz w:val="24"/>
          <w:szCs w:val="24"/>
          <w:highlight w:val="none"/>
        </w:rPr>
      </w:pPr>
      <w:r>
        <w:rPr>
          <w:rFonts w:asciiTheme="minorEastAsia" w:hAnsiTheme="minorEastAsia" w:cstheme="minorEastAsia"/>
          <w:color w:val="auto"/>
          <w:sz w:val="24"/>
          <w:szCs w:val="24"/>
          <w:highlight w:val="none"/>
        </w:rPr>
        <w:t>附件</w:t>
      </w:r>
      <w:r>
        <w:rPr>
          <w:rFonts w:hint="eastAsia" w:asciiTheme="minorEastAsia" w:hAnsiTheme="minorEastAsia" w:cstheme="minorEastAsia"/>
          <w:color w:val="auto"/>
          <w:sz w:val="24"/>
          <w:szCs w:val="24"/>
          <w:highlight w:val="none"/>
          <w:lang w:eastAsia="zh-CN"/>
        </w:rPr>
        <w:t>4</w:t>
      </w:r>
      <w:r>
        <w:rPr>
          <w:rFonts w:asciiTheme="minorEastAsia" w:hAnsiTheme="minorEastAsia" w:cstheme="minorEastAsia"/>
          <w:color w:val="auto"/>
          <w:sz w:val="24"/>
          <w:szCs w:val="24"/>
          <w:highlight w:val="none"/>
        </w:rPr>
        <w:t>：关于印发《广州开发区绿化和公园管理中心（广州市黄埔区绿化和公园管理中心）市政公共绿地养护管理办法（修订）》等文件的通知</w:t>
      </w:r>
    </w:p>
    <w:p w14:paraId="33C4BDE8">
      <w:pPr>
        <w:spacing w:line="360" w:lineRule="auto"/>
        <w:rPr>
          <w:rFonts w:hint="eastAsia" w:asciiTheme="minorEastAsia" w:hAnsiTheme="minorEastAsia" w:cstheme="minorEastAsia"/>
          <w:color w:val="auto"/>
          <w:sz w:val="24"/>
          <w:highlight w:val="none"/>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7ECD8">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91E096">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591E096">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02FEA7"/>
    <w:multiLevelType w:val="singleLevel"/>
    <w:tmpl w:val="E102FEA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4E2C7F"/>
    <w:rsid w:val="00692FA7"/>
    <w:rsid w:val="00C2692A"/>
    <w:rsid w:val="01467425"/>
    <w:rsid w:val="015754F6"/>
    <w:rsid w:val="015E034F"/>
    <w:rsid w:val="01D31020"/>
    <w:rsid w:val="04115E30"/>
    <w:rsid w:val="042C142A"/>
    <w:rsid w:val="06020126"/>
    <w:rsid w:val="0677688D"/>
    <w:rsid w:val="07596ED5"/>
    <w:rsid w:val="08E9332E"/>
    <w:rsid w:val="09015D74"/>
    <w:rsid w:val="0942143F"/>
    <w:rsid w:val="094B3B92"/>
    <w:rsid w:val="0AFB05D5"/>
    <w:rsid w:val="0C344DB1"/>
    <w:rsid w:val="0C405193"/>
    <w:rsid w:val="0C5B1651"/>
    <w:rsid w:val="0CD520F0"/>
    <w:rsid w:val="0E5851F8"/>
    <w:rsid w:val="0F130CAE"/>
    <w:rsid w:val="0F2862EC"/>
    <w:rsid w:val="109877A1"/>
    <w:rsid w:val="10A4325A"/>
    <w:rsid w:val="11254AAD"/>
    <w:rsid w:val="11624912"/>
    <w:rsid w:val="12386C7D"/>
    <w:rsid w:val="12BD6812"/>
    <w:rsid w:val="13E071EF"/>
    <w:rsid w:val="155D7127"/>
    <w:rsid w:val="16A62408"/>
    <w:rsid w:val="17260116"/>
    <w:rsid w:val="17C80E13"/>
    <w:rsid w:val="183F64D4"/>
    <w:rsid w:val="18876269"/>
    <w:rsid w:val="19792055"/>
    <w:rsid w:val="19B04B40"/>
    <w:rsid w:val="1A82067E"/>
    <w:rsid w:val="1A98650B"/>
    <w:rsid w:val="1CA70C88"/>
    <w:rsid w:val="1CC63804"/>
    <w:rsid w:val="1EFB52BB"/>
    <w:rsid w:val="1F6B68E4"/>
    <w:rsid w:val="203330E1"/>
    <w:rsid w:val="208C6B12"/>
    <w:rsid w:val="21AD4357"/>
    <w:rsid w:val="21BF3EED"/>
    <w:rsid w:val="21FF50C2"/>
    <w:rsid w:val="227E58D7"/>
    <w:rsid w:val="234A3673"/>
    <w:rsid w:val="23C30A9D"/>
    <w:rsid w:val="243B1A1F"/>
    <w:rsid w:val="253E2BAA"/>
    <w:rsid w:val="25592D3B"/>
    <w:rsid w:val="25B867BE"/>
    <w:rsid w:val="27B424FD"/>
    <w:rsid w:val="281809B2"/>
    <w:rsid w:val="28E15521"/>
    <w:rsid w:val="292A336C"/>
    <w:rsid w:val="29BD0A90"/>
    <w:rsid w:val="29C06030"/>
    <w:rsid w:val="29C11F42"/>
    <w:rsid w:val="2A4D3226"/>
    <w:rsid w:val="2A847B4D"/>
    <w:rsid w:val="2CC31B0E"/>
    <w:rsid w:val="2CC563A2"/>
    <w:rsid w:val="2D7C30AE"/>
    <w:rsid w:val="2E7F19D7"/>
    <w:rsid w:val="2E884DBD"/>
    <w:rsid w:val="2ECD0A22"/>
    <w:rsid w:val="2F842AC8"/>
    <w:rsid w:val="2FD4552C"/>
    <w:rsid w:val="30792A97"/>
    <w:rsid w:val="33707BCD"/>
    <w:rsid w:val="337D0907"/>
    <w:rsid w:val="33A02652"/>
    <w:rsid w:val="345E3ECA"/>
    <w:rsid w:val="34AC732B"/>
    <w:rsid w:val="36463ECB"/>
    <w:rsid w:val="36537D49"/>
    <w:rsid w:val="373F001C"/>
    <w:rsid w:val="376E2676"/>
    <w:rsid w:val="378105FB"/>
    <w:rsid w:val="38DE382B"/>
    <w:rsid w:val="392B4CC2"/>
    <w:rsid w:val="392B54D9"/>
    <w:rsid w:val="394418E0"/>
    <w:rsid w:val="3AFA3CA4"/>
    <w:rsid w:val="3BAF7DBD"/>
    <w:rsid w:val="3C4F6F1A"/>
    <w:rsid w:val="3CEA6C43"/>
    <w:rsid w:val="3CFB5C1A"/>
    <w:rsid w:val="3D962E9A"/>
    <w:rsid w:val="3DB32620"/>
    <w:rsid w:val="3DEC2546"/>
    <w:rsid w:val="406A5E3B"/>
    <w:rsid w:val="41720FB5"/>
    <w:rsid w:val="41E14839"/>
    <w:rsid w:val="42440BA3"/>
    <w:rsid w:val="449556E6"/>
    <w:rsid w:val="44F00B6E"/>
    <w:rsid w:val="467712F2"/>
    <w:rsid w:val="472F0FAB"/>
    <w:rsid w:val="47D74267"/>
    <w:rsid w:val="47EB3D8E"/>
    <w:rsid w:val="48F81B87"/>
    <w:rsid w:val="492C6F80"/>
    <w:rsid w:val="49EE4458"/>
    <w:rsid w:val="4A0A4480"/>
    <w:rsid w:val="4A196DE7"/>
    <w:rsid w:val="4A2C2648"/>
    <w:rsid w:val="4A8C1339"/>
    <w:rsid w:val="4B685902"/>
    <w:rsid w:val="4D3833FE"/>
    <w:rsid w:val="4DEB45C9"/>
    <w:rsid w:val="4E1F4C80"/>
    <w:rsid w:val="4EF83441"/>
    <w:rsid w:val="4F4E2C7F"/>
    <w:rsid w:val="4F9F2B64"/>
    <w:rsid w:val="50B44FB0"/>
    <w:rsid w:val="50FF7D61"/>
    <w:rsid w:val="515F1555"/>
    <w:rsid w:val="516A04AA"/>
    <w:rsid w:val="51CB2747"/>
    <w:rsid w:val="525C3D4D"/>
    <w:rsid w:val="5410237E"/>
    <w:rsid w:val="54204A3B"/>
    <w:rsid w:val="54F16968"/>
    <w:rsid w:val="55346855"/>
    <w:rsid w:val="55545149"/>
    <w:rsid w:val="5612303A"/>
    <w:rsid w:val="5675326A"/>
    <w:rsid w:val="57544F8D"/>
    <w:rsid w:val="59040888"/>
    <w:rsid w:val="596D67DA"/>
    <w:rsid w:val="59A947A5"/>
    <w:rsid w:val="59F139BC"/>
    <w:rsid w:val="5A8D1F1E"/>
    <w:rsid w:val="5B0D5B7E"/>
    <w:rsid w:val="5B920B84"/>
    <w:rsid w:val="5BC70423"/>
    <w:rsid w:val="5BD37F16"/>
    <w:rsid w:val="5D4B6E32"/>
    <w:rsid w:val="5D545BA9"/>
    <w:rsid w:val="5D9500AD"/>
    <w:rsid w:val="5E196F30"/>
    <w:rsid w:val="5E1B4A56"/>
    <w:rsid w:val="5F013C4C"/>
    <w:rsid w:val="5F316516"/>
    <w:rsid w:val="5FD65C48"/>
    <w:rsid w:val="6020045A"/>
    <w:rsid w:val="609B59DA"/>
    <w:rsid w:val="61662E7E"/>
    <w:rsid w:val="618172C6"/>
    <w:rsid w:val="62793062"/>
    <w:rsid w:val="62A36DC8"/>
    <w:rsid w:val="635527B8"/>
    <w:rsid w:val="639D7CBB"/>
    <w:rsid w:val="668F51BF"/>
    <w:rsid w:val="68190BEF"/>
    <w:rsid w:val="68E51EE8"/>
    <w:rsid w:val="68EC3C32"/>
    <w:rsid w:val="691A3DBC"/>
    <w:rsid w:val="6929090E"/>
    <w:rsid w:val="695B03FD"/>
    <w:rsid w:val="6A8D137A"/>
    <w:rsid w:val="6B364C7D"/>
    <w:rsid w:val="6B66156A"/>
    <w:rsid w:val="6BBA4DC1"/>
    <w:rsid w:val="6BD77B89"/>
    <w:rsid w:val="6C2B4084"/>
    <w:rsid w:val="6C990F6E"/>
    <w:rsid w:val="6D1A1849"/>
    <w:rsid w:val="6D450054"/>
    <w:rsid w:val="6D8A305E"/>
    <w:rsid w:val="6F854425"/>
    <w:rsid w:val="6F9D5C29"/>
    <w:rsid w:val="6FE0165C"/>
    <w:rsid w:val="71B26913"/>
    <w:rsid w:val="72587127"/>
    <w:rsid w:val="73131D48"/>
    <w:rsid w:val="7349686A"/>
    <w:rsid w:val="73A86934"/>
    <w:rsid w:val="74D55507"/>
    <w:rsid w:val="75DA47EA"/>
    <w:rsid w:val="76B00EF6"/>
    <w:rsid w:val="777E3232"/>
    <w:rsid w:val="777F7DA9"/>
    <w:rsid w:val="7808174F"/>
    <w:rsid w:val="79F01850"/>
    <w:rsid w:val="7AC73B44"/>
    <w:rsid w:val="7B240194"/>
    <w:rsid w:val="7B2F7283"/>
    <w:rsid w:val="7BE6624C"/>
    <w:rsid w:val="7BF1074D"/>
    <w:rsid w:val="7BF11838"/>
    <w:rsid w:val="7C02295A"/>
    <w:rsid w:val="7C647170"/>
    <w:rsid w:val="7C6C2815"/>
    <w:rsid w:val="7C827506"/>
    <w:rsid w:val="7CAD0B17"/>
    <w:rsid w:val="7D0459DE"/>
    <w:rsid w:val="7D0B583E"/>
    <w:rsid w:val="7D5702A0"/>
    <w:rsid w:val="7DE07737"/>
    <w:rsid w:val="7F39734F"/>
    <w:rsid w:val="7FF931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Indent"/>
    <w:basedOn w:val="1"/>
    <w:next w:val="1"/>
    <w:qFormat/>
    <w:uiPriority w:val="99"/>
    <w:pPr>
      <w:spacing w:line="500" w:lineRule="atLeast"/>
      <w:ind w:firstLine="600" w:firstLineChars="200"/>
    </w:pPr>
    <w:rPr>
      <w:rFonts w:ascii="仿宋_GB2312" w:hAnsi="宋体" w:eastAsia="仿宋_GB2312"/>
      <w:kern w:val="44"/>
      <w:sz w:val="30"/>
      <w:lang w:val="en-GB"/>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Autospacing="1" w:after="100" w:afterAutospacing="1"/>
      <w:jc w:val="left"/>
    </w:pPr>
    <w:rPr>
      <w:rFonts w:ascii="宋体" w:hAnsi="宋体"/>
      <w:kern w:val="0"/>
      <w:sz w:val="24"/>
    </w:rPr>
  </w:style>
  <w:style w:type="paragraph" w:styleId="8">
    <w:name w:val="Title"/>
    <w:basedOn w:val="1"/>
    <w:next w:val="1"/>
    <w:qFormat/>
    <w:uiPriority w:val="0"/>
    <w:pPr>
      <w:spacing w:before="240" w:after="60"/>
      <w:jc w:val="center"/>
      <w:outlineLvl w:val="0"/>
    </w:pPr>
    <w:rPr>
      <w:rFonts w:ascii="Cambria" w:hAnsi="Cambria"/>
      <w:b/>
      <w:bCs/>
      <w:sz w:val="32"/>
      <w:szCs w:val="32"/>
    </w:rPr>
  </w:style>
  <w:style w:type="paragraph" w:styleId="9">
    <w:name w:val="Body Text First Indent"/>
    <w:basedOn w:val="2"/>
    <w:qFormat/>
    <w:uiPriority w:val="0"/>
    <w:pPr>
      <w:ind w:firstLine="420" w:firstLineChars="100"/>
    </w:pPr>
    <w:rPr>
      <w:rFonts w:ascii="Calibri" w:hAnsi="Calibri" w:eastAsia="宋体" w:cs="Times New Roman"/>
    </w:rPr>
  </w:style>
  <w:style w:type="paragraph" w:customStyle="1" w:styleId="12">
    <w:name w:val="null3"/>
    <w:hidden/>
    <w:qFormat/>
    <w:uiPriority w:val="0"/>
    <w:rPr>
      <w:rFonts w:hint="eastAsia" w:asciiTheme="minorHAnsi" w:hAnsiTheme="minorHAnsi" w:eastAsiaTheme="minorEastAsia" w:cstheme="minorBidi"/>
      <w:lang w:val="en-US" w:eastAsia="zh-Hans"/>
    </w:rPr>
  </w:style>
  <w:style w:type="paragraph" w:customStyle="1" w:styleId="13">
    <w:name w:val="正文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4">
    <w:name w:val="标题 2_0"/>
    <w:basedOn w:val="13"/>
    <w:next w:val="13"/>
    <w:qFormat/>
    <w:uiPriority w:val="0"/>
    <w:pPr>
      <w:keepNext/>
      <w:keepLines/>
      <w:adjustRightInd w:val="0"/>
      <w:spacing w:beforeLines="20" w:afterLines="20" w:line="360" w:lineRule="auto"/>
      <w:outlineLvl w:val="1"/>
    </w:pPr>
    <w:rPr>
      <w:rFonts w:ascii="宋体" w:hAnsi="宋体"/>
      <w:b/>
      <w:kern w:val="0"/>
      <w:sz w:val="30"/>
      <w:szCs w:val="20"/>
    </w:rPr>
  </w:style>
  <w:style w:type="character" w:customStyle="1" w:styleId="15">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7663</Words>
  <Characters>7944</Characters>
  <Lines>0</Lines>
  <Paragraphs>0</Paragraphs>
  <TotalTime>6</TotalTime>
  <ScaleCrop>false</ScaleCrop>
  <LinksUpToDate>false</LinksUpToDate>
  <CharactersWithSpaces>7961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2026-01-21T16:58:00Z</dcterms:created>
  <dc:creator>TL</dc:creator>
  <cp:lastModifiedBy>t</cp:lastModifiedBy>
  <dcterms:modified xsi:type="dcterms:W3CDTF">2026-03-18T08:09:43Z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825DBCF0FB184C67961A49FF7508385C_13</vt:lpwstr>
  </property>
  <property fmtid="{D5CDD505-2E9C-101B-9397-08002B2CF9AE}" pid="4" name="KSOTemplateDocerSaveRecord">
    <vt:lpwstr>eyJoZGlkIjoiNzM3MTAzM2Q4NDhlNTBiNjljZDg2OTEyZGRmMTk4ZTciLCJ1c2VySWQiOiI0MzMyNTIzMjQifQ==</vt:lpwstr>
  </property>
</Properties>
</file>